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方正黑体_GBK" w:cs="方正黑体_GBK"/>
          <w:b w:val="0"/>
          <w:bCs w:val="0"/>
          <w:sz w:val="32"/>
          <w:szCs w:val="32"/>
          <w:lang w:val="en-US" w:eastAsia="zh-CN"/>
        </w:rPr>
      </w:pPr>
      <w:r>
        <w:rPr>
          <w:rFonts w:hint="eastAsia" w:ascii="宋体" w:hAnsi="宋体" w:eastAsia="方正黑体_GBK" w:cs="方正黑体_GBK"/>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华文中宋" w:cs="华文中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华文中宋" w:cs="华文中宋"/>
          <w:sz w:val="44"/>
          <w:szCs w:val="44"/>
          <w:lang w:val="en-US" w:eastAsia="zh-CN"/>
        </w:rPr>
      </w:pPr>
      <w:r>
        <w:rPr>
          <w:rFonts w:hint="eastAsia" w:ascii="宋体" w:hAnsi="宋体" w:eastAsia="华文中宋" w:cs="华文中宋"/>
          <w:sz w:val="44"/>
          <w:szCs w:val="44"/>
          <w:lang w:val="en-US" w:eastAsia="zh-CN"/>
        </w:rPr>
        <w:t>人力资源社会保障</w:t>
      </w:r>
      <w:r>
        <w:rPr>
          <w:rFonts w:hint="default" w:ascii="宋体" w:hAnsi="宋体" w:eastAsia="华文中宋" w:cs="Times New Roman"/>
          <w:sz w:val="44"/>
          <w:szCs w:val="44"/>
          <w:lang w:val="en-US" w:eastAsia="zh-CN"/>
        </w:rPr>
        <w:t>部20</w:t>
      </w:r>
      <w:r>
        <w:rPr>
          <w:rFonts w:hint="eastAsia" w:ascii="宋体" w:hAnsi="宋体" w:eastAsia="华文中宋" w:cs="Times New Roman"/>
          <w:sz w:val="44"/>
          <w:szCs w:val="44"/>
          <w:lang w:val="en-US" w:eastAsia="zh-CN"/>
        </w:rPr>
        <w:t>26</w:t>
      </w:r>
      <w:r>
        <w:rPr>
          <w:rFonts w:hint="eastAsia" w:ascii="宋体" w:hAnsi="宋体" w:eastAsia="华文中宋" w:cs="华文中宋"/>
          <w:sz w:val="44"/>
          <w:szCs w:val="44"/>
          <w:lang w:val="en-US" w:eastAsia="zh-CN"/>
        </w:rPr>
        <w:t>年</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华文中宋" w:cs="华文中宋"/>
          <w:sz w:val="44"/>
          <w:szCs w:val="44"/>
          <w:lang w:val="en-US" w:eastAsia="zh-CN"/>
        </w:rPr>
      </w:pPr>
      <w:r>
        <w:rPr>
          <w:rFonts w:hint="eastAsia" w:ascii="宋体" w:hAnsi="宋体" w:eastAsia="华文中宋" w:cs="华文中宋"/>
          <w:sz w:val="44"/>
          <w:szCs w:val="44"/>
          <w:lang w:val="en-US" w:eastAsia="zh-CN"/>
        </w:rPr>
        <w:t>重大课题立项名单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华文中宋" w:cs="华文中宋"/>
          <w:sz w:val="44"/>
          <w:szCs w:val="44"/>
          <w:lang w:val="en-US" w:eastAsia="zh-CN"/>
        </w:rPr>
      </w:pPr>
    </w:p>
    <w:tbl>
      <w:tblPr>
        <w:tblStyle w:val="5"/>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27"/>
        <w:gridCol w:w="4720"/>
        <w:gridCol w:w="256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4" w:hRule="exact"/>
          <w:jc w:val="center"/>
        </w:trPr>
        <w:tc>
          <w:tcPr>
            <w:tcW w:w="927"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4720"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课题名称</w:t>
            </w:r>
          </w:p>
        </w:tc>
        <w:tc>
          <w:tcPr>
            <w:tcW w:w="2565"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承担机构</w:t>
            </w:r>
          </w:p>
        </w:tc>
        <w:tc>
          <w:tcPr>
            <w:tcW w:w="1866" w:type="dxa"/>
            <w:noWrap w:val="0"/>
            <w:vAlign w:val="center"/>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1</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增强人工智能就业创造正面效应政策研究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华南师范大学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王春超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2</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未来十年青年就业形势和应对举措研究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中国劳动和社会保障科学研究院</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鲍春雷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3</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健全人力资源市场法规体系研究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中国社会科学院法学研究所</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王天玉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4</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“十五五”及更长时间我国新型城镇化与人口老龄化对养老保险制度发展的影响及对策研究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中国人口与发展研究中心</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袁涛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5</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落实投资于人要求，健全终身职业技能培训制度研究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中央财经大学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姚东旻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6</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生态文明建设背景下的绿色职业与技能开发研究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北京林业大学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鲁莎莎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7</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人工智能赋能人才工作研究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北京邮电大学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赵晨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8</w:t>
            </w:r>
          </w:p>
        </w:tc>
        <w:tc>
          <w:tcPr>
            <w:tcW w:w="47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建立健全事业单位外国人才管理使用制度研究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中国国际人才交流与开发研究会</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余兴安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仿宋_GB2312" w:cs="仿宋_GB2312"/>
                <w:sz w:val="32"/>
                <w:szCs w:val="32"/>
                <w:vertAlign w:val="baseline"/>
              </w:rPr>
            </w:pPr>
          </w:p>
        </w:tc>
        <w:tc>
          <w:tcPr>
            <w:tcW w:w="4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仿宋_GB2312" w:cs="仿宋_GB2312"/>
                <w:sz w:val="32"/>
                <w:szCs w:val="32"/>
                <w:vertAlign w:val="baseline"/>
              </w:rPr>
            </w:pP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海南大学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吴文武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9</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中国劳动科学自主知识体系基本架构研究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中国劳动学会</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曾湘泉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10</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人工智能挑战下的劳动关系问题研究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清华大学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张晨颖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11</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健全最低工资立法若干重大问题研究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中国劳动和社会保障科学研究院</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李文静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12</w:t>
            </w:r>
          </w:p>
        </w:tc>
        <w:tc>
          <w:tcPr>
            <w:tcW w:w="4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农村劳动力流动与基层治理问题研究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中国劳动和社会保障科学研究院</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殷宝明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宋体" w:hAnsi="宋体" w:eastAsia="宋体" w:cs="宋体"/>
                <w:i w:val="0"/>
                <w:color w:val="000000"/>
                <w:kern w:val="0"/>
                <w:sz w:val="32"/>
                <w:szCs w:val="32"/>
                <w:u w:val="none"/>
                <w:lang w:val="en-US" w:eastAsia="zh-CN" w:bidi="ar"/>
              </w:rPr>
              <w:t>13</w:t>
            </w:r>
          </w:p>
        </w:tc>
        <w:tc>
          <w:tcPr>
            <w:tcW w:w="47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中资企业境外用工法律风险防控与我国公民境外劳动权益保障研究</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北京大学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陈一峰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4" w:hRule="exact"/>
          <w:jc w:val="center"/>
        </w:trPr>
        <w:tc>
          <w:tcPr>
            <w:tcW w:w="92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仿宋_GB2312" w:cs="仿宋_GB2312"/>
                <w:sz w:val="32"/>
                <w:szCs w:val="32"/>
                <w:vertAlign w:val="baseline"/>
              </w:rPr>
            </w:pPr>
          </w:p>
        </w:tc>
        <w:tc>
          <w:tcPr>
            <w:tcW w:w="47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仿宋_GB2312" w:cs="仿宋_GB2312"/>
                <w:sz w:val="32"/>
                <w:szCs w:val="32"/>
                <w:vertAlign w:val="baseline"/>
              </w:rPr>
            </w:pP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中国政法大学</w:t>
            </w:r>
          </w:p>
        </w:tc>
        <w:tc>
          <w:tcPr>
            <w:tcW w:w="18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仿宋_GB2312" w:cs="仿宋_GB2312"/>
                <w:sz w:val="32"/>
                <w:szCs w:val="32"/>
                <w:vertAlign w:val="baseline"/>
              </w:rPr>
            </w:pPr>
            <w:r>
              <w:rPr>
                <w:rFonts w:hint="eastAsia" w:ascii="仿宋_GB2312" w:hAnsi="宋体" w:eastAsia="仿宋_GB2312" w:cs="仿宋_GB2312"/>
                <w:i w:val="0"/>
                <w:color w:val="000000"/>
                <w:kern w:val="0"/>
                <w:sz w:val="32"/>
                <w:szCs w:val="32"/>
                <w:u w:val="none"/>
                <w:lang w:val="en-US" w:eastAsia="zh-CN" w:bidi="ar"/>
              </w:rPr>
              <w:t>霍政欣</w:t>
            </w:r>
          </w:p>
        </w:tc>
      </w:tr>
    </w:tbl>
    <w:p>
      <w:pPr>
        <w:rPr>
          <w:rFonts w:hint="eastAsia" w:ascii="宋体" w:hAnsi="宋体"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C56F2"/>
    <w:rsid w:val="3CEA6606"/>
    <w:rsid w:val="3DEA3C64"/>
    <w:rsid w:val="4DDF38E7"/>
    <w:rsid w:val="5FFB0541"/>
    <w:rsid w:val="6F7BEE5D"/>
    <w:rsid w:val="6FF752B1"/>
    <w:rsid w:val="79AA5187"/>
    <w:rsid w:val="7DDE25AD"/>
    <w:rsid w:val="7DFDC4BF"/>
    <w:rsid w:val="AFBF962C"/>
    <w:rsid w:val="CDAEA533"/>
    <w:rsid w:val="DF638ABC"/>
    <w:rsid w:val="EEC7445B"/>
    <w:rsid w:val="EF7C56F2"/>
    <w:rsid w:val="FAF53299"/>
    <w:rsid w:val="FF3AA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32.3333333333333</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2025-03-29T22:23:00Z</dcterms:created>
  <dc:creator>yuanyz</dc:creator>
  <cp:lastModifiedBy>admin</cp:lastModifiedBy>
  <dcterms:modified xsi:type="dcterms:W3CDTF">2026-05-22T16:22:42Z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