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ind w:left="3"/>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03.060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A11</w:t>
            </w:r>
            <w:r>
              <w:rPr>
                <w:rFonts w:ascii="黑体" w:hAnsi="黑体" w:eastAsia="黑体"/>
                <w:sz w:val="21"/>
                <w:szCs w:val="21"/>
              </w:rPr>
              <w:fldChar w:fldCharType="end"/>
            </w:r>
            <w:bookmarkEnd w:id="1"/>
          </w:p>
        </w:tc>
      </w:tr>
    </w:tbl>
    <w:p>
      <w:pPr>
        <w:pStyle w:val="51"/>
        <w:framePr w:w="9639" w:h="624" w:hRule="exact" w:hSpace="181" w:vSpace="181" w:hAnchor="page" w:x="1305" w:y="2269"/>
      </w:pPr>
      <w:bookmarkStart w:id="2" w:name="_Hlk26473981"/>
      <w:r>
        <w:rPr>
          <w:rFonts w:hint="eastAsia"/>
        </w:rPr>
        <w:t>中华人民共和国国家标准</w:t>
      </w:r>
    </w:p>
    <w:bookmarkEnd w:id="2"/>
    <w:p>
      <w:pPr>
        <w:pStyle w:val="196"/>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Pr>
          <w:lang w:val="fr-FR"/>
        </w:rPr>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rPr>
          <w:lang w:val="fr-FR"/>
        </w:rPr>
        <w:t>XXXXX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pPr>
        <w:pStyle w:val="197"/>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ind w:left="8080"/>
        <w:rPr>
          <w:rFonts w:ascii="黑体" w:hAnsi="黑体" w:eastAsia="黑体"/>
          <w:kern w:val="0"/>
          <w:sz w:val="52"/>
          <w:szCs w:val="20"/>
        </w:rPr>
      </w:pPr>
      <w:r>
        <w:rPr>
          <w:rFonts w:ascii="黑体" w:hAnsi="黑体" w:eastAsia="黑体"/>
          <w:kern w:val="0"/>
          <w:sz w:val="52"/>
          <w:szCs w:val="2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r>
        <w:rPr>
          <w:rFonts w:ascii="黑体" w:hAnsi="黑体" w:eastAsia="黑体"/>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noChangeArrowheads="true"/>
                    </pic:cNvPicPr>
                  </pic:nvPicPr>
                  <pic:blipFill>
                    <a:blip r:embed="rId13">
                      <a:extLst>
                        <a:ext uri="{28A0092B-C50C-407E-A947-70E740481C1C}">
                          <a14:useLocalDpi xmlns:a14="http://schemas.microsoft.com/office/drawing/2010/main" val="false"/>
                        </a:ext>
                      </a:extLst>
                    </a:blip>
                    <a:srcRect/>
                    <a:stretch>
                      <a:fillRect/>
                    </a:stretch>
                  </pic:blipFill>
                  <pic:spPr>
                    <a:xfrm>
                      <a:off x="0" y="0"/>
                      <a:ext cx="1447200" cy="732960"/>
                    </a:xfrm>
                    <a:prstGeom prst="rect">
                      <a:avLst/>
                    </a:prstGeom>
                    <a:noFill/>
                    <a:ln>
                      <a:noFill/>
                    </a:ln>
                  </pic:spPr>
                </pic:pic>
              </a:graphicData>
            </a:graphic>
          </wp:anchor>
        </w:drawing>
      </w:r>
    </w:p>
    <w:p>
      <w:pPr>
        <w:pStyle w:val="51"/>
        <w:framePr w:w="9639" w:h="6976" w:hRule="exact" w:hSpace="0" w:vSpace="0"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合作机构经办社会保险业务规范</w:t>
      </w:r>
      <w:r>
        <w:fldChar w:fldCharType="end"/>
      </w:r>
      <w:bookmarkEnd w:id="7"/>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eastAsia="黑体"/>
          <w:szCs w:val="28"/>
        </w:rPr>
        <w:t>Norms for the operation of social insurance by cooperative institutions     </w:t>
      </w:r>
      <w:r>
        <w:rPr>
          <w:rFonts w:ascii="黑体" w:hAnsi="黑体" w:eastAsia="黑体"/>
          <w:szCs w:val="28"/>
        </w:rPr>
        <w:fldChar w:fldCharType="end"/>
      </w:r>
      <w:bookmarkEnd w:id="8"/>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9"/>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4"/>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w:drawing>
          <wp:anchor distT="0" distB="0" distL="114300" distR="114300" simplePos="0" relativeHeight="251662336"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pic:cNvPicPr>
                  </pic:nvPicPr>
                  <pic:blipFill>
                    <a:blip r:embed="rId14" cstate="print">
                      <a:extLst>
                        <a:ext uri="{28A0092B-C50C-407E-A947-70E740481C1C}">
                          <a14:useLocalDpi xmlns:a14="http://schemas.microsoft.com/office/drawing/2010/main" val="false"/>
                        </a:ext>
                      </a:extLst>
                    </a:blip>
                    <a:stretch>
                      <a:fillRect/>
                    </a:stretch>
                  </pic:blipFill>
                  <pic:spPr>
                    <a:xfrm>
                      <a:off x="0" y="0"/>
                      <a:ext cx="2868840" cy="545400"/>
                    </a:xfrm>
                    <a:prstGeom prst="rect">
                      <a:avLst/>
                    </a:prstGeom>
                  </pic:spPr>
                </pic:pic>
              </a:graphicData>
            </a:graphic>
          </wp:anchor>
        </w:drawing>
      </w: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r>
        <w:rPr>
          <w:rFonts w:hint="eastAsia" w:ascii="宋体" w:hAnsi="宋体"/>
          <w:sz w:val="28"/>
          <w:szCs w:val="28"/>
        </w:rPr>
        <w:t>`</w:t>
      </w:r>
    </w:p>
    <w:p>
      <w:pPr>
        <w:pStyle w:val="92"/>
        <w:spacing w:after="468"/>
      </w:pPr>
      <w:bookmarkStart w:id="19" w:name="BookMark1"/>
      <w:r>
        <w:rPr>
          <w:rFonts w:hint="eastAsia"/>
          <w:spacing w:val="320"/>
        </w:rPr>
        <w:t>目</w:t>
      </w:r>
      <w:r>
        <w:rPr>
          <w:rFonts w:hint="eastAsia"/>
        </w:rPr>
        <w:t>次</w:t>
      </w:r>
    </w:p>
    <w:p>
      <w:pPr>
        <w:pStyle w:val="20"/>
        <w:tabs>
          <w:tab w:val="right" w:leader="dot" w:pos="9354"/>
        </w:tabs>
        <w:jc w:val="both"/>
      </w:pPr>
      <w:r>
        <w:fldChar w:fldCharType="begin"/>
      </w:r>
      <w:r>
        <w:instrText xml:space="preserve"> TOC \o "1-1" \h </w:instrText>
      </w:r>
      <w:r>
        <w:fldChar w:fldCharType="separate"/>
      </w:r>
      <w:r>
        <w:fldChar w:fldCharType="begin"/>
      </w:r>
      <w:r>
        <w:instrText xml:space="preserve"> HYPERLINK \l _Toc588996555 </w:instrText>
      </w:r>
      <w:r>
        <w:fldChar w:fldCharType="separate"/>
      </w:r>
      <w:r>
        <w:rPr>
          <w:spacing w:val="320"/>
        </w:rPr>
        <w:t>前</w:t>
      </w:r>
      <w:r>
        <w:t>言</w:t>
      </w:r>
      <w:r>
        <w:tab/>
      </w:r>
      <w:r>
        <w:fldChar w:fldCharType="begin"/>
      </w:r>
      <w:r>
        <w:instrText xml:space="preserve"> PAGEREF _Toc588996555 </w:instrText>
      </w:r>
      <w:r>
        <w:fldChar w:fldCharType="separate"/>
      </w:r>
      <w:r>
        <w:t>II</w:t>
      </w:r>
      <w:r>
        <w:fldChar w:fldCharType="end"/>
      </w:r>
      <w:r>
        <w:fldChar w:fldCharType="end"/>
      </w:r>
    </w:p>
    <w:p>
      <w:pPr>
        <w:pStyle w:val="20"/>
        <w:tabs>
          <w:tab w:val="right" w:leader="dot" w:pos="9354"/>
        </w:tabs>
      </w:pPr>
      <w:r>
        <w:fldChar w:fldCharType="begin"/>
      </w:r>
      <w:r>
        <w:instrText xml:space="preserve"> HYPERLINK \l _Toc912070836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_Toc912070836 </w:instrText>
      </w:r>
      <w:r>
        <w:fldChar w:fldCharType="separate"/>
      </w:r>
      <w:r>
        <w:t>3</w:t>
      </w:r>
      <w:r>
        <w:fldChar w:fldCharType="end"/>
      </w:r>
      <w:r>
        <w:fldChar w:fldCharType="end"/>
      </w:r>
    </w:p>
    <w:p>
      <w:pPr>
        <w:pStyle w:val="20"/>
        <w:tabs>
          <w:tab w:val="right" w:leader="dot" w:pos="9354"/>
        </w:tabs>
      </w:pPr>
      <w:r>
        <w:fldChar w:fldCharType="begin"/>
      </w:r>
      <w:r>
        <w:instrText xml:space="preserve"> HYPERLINK \l _Toc2059978085 </w:instrText>
      </w:r>
      <w:r>
        <w:fldChar w:fldCharType="separate"/>
      </w:r>
      <w:r>
        <w:rPr>
          <w:rFonts w:hint="eastAsia" w:ascii="黑体" w:eastAsia="黑体"/>
          <w:i w:val="0"/>
        </w:rPr>
        <w:t xml:space="preserve">2 </w:t>
      </w:r>
      <w:r>
        <w:rPr>
          <w:rFonts w:hint="eastAsia"/>
        </w:rPr>
        <w:t>规范性引用</w:t>
      </w:r>
      <w:bookmarkStart w:id="64" w:name="_GoBack"/>
      <w:bookmarkEnd w:id="64"/>
      <w:r>
        <w:rPr>
          <w:rFonts w:hint="eastAsia"/>
        </w:rPr>
        <w:t>文件</w:t>
      </w:r>
      <w:r>
        <w:tab/>
      </w:r>
      <w:r>
        <w:fldChar w:fldCharType="begin"/>
      </w:r>
      <w:r>
        <w:instrText xml:space="preserve"> PAGEREF _Toc2059978085 </w:instrText>
      </w:r>
      <w:r>
        <w:fldChar w:fldCharType="separate"/>
      </w:r>
      <w:r>
        <w:t>3</w:t>
      </w:r>
      <w:r>
        <w:fldChar w:fldCharType="end"/>
      </w:r>
      <w:r>
        <w:fldChar w:fldCharType="end"/>
      </w:r>
    </w:p>
    <w:p>
      <w:pPr>
        <w:pStyle w:val="20"/>
        <w:tabs>
          <w:tab w:val="right" w:leader="dot" w:pos="9354"/>
        </w:tabs>
      </w:pPr>
      <w:r>
        <w:fldChar w:fldCharType="begin"/>
      </w:r>
      <w:r>
        <w:instrText xml:space="preserve"> HYPERLINK \l _Toc841656772 </w:instrText>
      </w:r>
      <w:r>
        <w:fldChar w:fldCharType="separate"/>
      </w:r>
      <w:r>
        <w:rPr>
          <w:rFonts w:hint="eastAsia" w:ascii="黑体" w:eastAsia="黑体"/>
          <w:i w:val="0"/>
        </w:rPr>
        <w:t xml:space="preserve">3 </w:t>
      </w:r>
      <w:r>
        <w:rPr>
          <w:rFonts w:hint="eastAsia"/>
        </w:rPr>
        <w:t>术语和定义</w:t>
      </w:r>
      <w:r>
        <w:tab/>
      </w:r>
      <w:r>
        <w:fldChar w:fldCharType="begin"/>
      </w:r>
      <w:r>
        <w:instrText xml:space="preserve"> PAGEREF _Toc841656772 </w:instrText>
      </w:r>
      <w:r>
        <w:fldChar w:fldCharType="separate"/>
      </w:r>
      <w:r>
        <w:t>3</w:t>
      </w:r>
      <w:r>
        <w:fldChar w:fldCharType="end"/>
      </w:r>
      <w:r>
        <w:fldChar w:fldCharType="end"/>
      </w:r>
    </w:p>
    <w:p>
      <w:pPr>
        <w:pStyle w:val="20"/>
        <w:tabs>
          <w:tab w:val="right" w:leader="dot" w:pos="9354"/>
        </w:tabs>
      </w:pPr>
      <w:r>
        <w:fldChar w:fldCharType="begin"/>
      </w:r>
      <w:r>
        <w:instrText xml:space="preserve"> HYPERLINK \l _Toc36357191 </w:instrText>
      </w:r>
      <w:r>
        <w:fldChar w:fldCharType="separate"/>
      </w:r>
      <w:r>
        <w:rPr>
          <w:rFonts w:hint="eastAsia" w:ascii="黑体" w:eastAsia="黑体"/>
          <w:i w:val="0"/>
        </w:rPr>
        <w:t xml:space="preserve">4 </w:t>
      </w:r>
      <w:r>
        <w:rPr>
          <w:rFonts w:hint="eastAsia"/>
        </w:rPr>
        <w:t>合作原则</w:t>
      </w:r>
      <w:r>
        <w:tab/>
      </w:r>
      <w:r>
        <w:fldChar w:fldCharType="begin"/>
      </w:r>
      <w:r>
        <w:instrText xml:space="preserve"> PAGEREF _Toc36357191 </w:instrText>
      </w:r>
      <w:r>
        <w:fldChar w:fldCharType="separate"/>
      </w:r>
      <w:r>
        <w:t>3</w:t>
      </w:r>
      <w:r>
        <w:fldChar w:fldCharType="end"/>
      </w:r>
      <w:r>
        <w:fldChar w:fldCharType="end"/>
      </w:r>
    </w:p>
    <w:p>
      <w:pPr>
        <w:pStyle w:val="20"/>
        <w:tabs>
          <w:tab w:val="right" w:leader="dot" w:pos="9354"/>
        </w:tabs>
      </w:pPr>
      <w:r>
        <w:fldChar w:fldCharType="begin"/>
      </w:r>
      <w:r>
        <w:instrText xml:space="preserve"> HYPERLINK \l _Toc643383615 </w:instrText>
      </w:r>
      <w:r>
        <w:fldChar w:fldCharType="separate"/>
      </w:r>
      <w:r>
        <w:rPr>
          <w:rFonts w:hint="eastAsia" w:ascii="黑体" w:eastAsia="黑体"/>
          <w:i w:val="0"/>
        </w:rPr>
        <w:t xml:space="preserve">5 </w:t>
      </w:r>
      <w:r>
        <w:rPr>
          <w:rFonts w:hint="eastAsia"/>
        </w:rPr>
        <w:t>基本</w:t>
      </w:r>
      <w:r>
        <w:rPr>
          <w:rFonts w:hint="eastAsia"/>
          <w:szCs w:val="21"/>
        </w:rPr>
        <w:t>要求</w:t>
      </w:r>
      <w:r>
        <w:tab/>
      </w:r>
      <w:r>
        <w:fldChar w:fldCharType="begin"/>
      </w:r>
      <w:r>
        <w:instrText xml:space="preserve"> PAGEREF _Toc643383615 </w:instrText>
      </w:r>
      <w:r>
        <w:fldChar w:fldCharType="separate"/>
      </w:r>
      <w:r>
        <w:t>4</w:t>
      </w:r>
      <w:r>
        <w:fldChar w:fldCharType="end"/>
      </w:r>
      <w:r>
        <w:fldChar w:fldCharType="end"/>
      </w:r>
    </w:p>
    <w:p>
      <w:pPr>
        <w:pStyle w:val="20"/>
        <w:tabs>
          <w:tab w:val="right" w:leader="dot" w:pos="9354"/>
        </w:tabs>
      </w:pPr>
      <w:r>
        <w:fldChar w:fldCharType="begin"/>
      </w:r>
      <w:r>
        <w:instrText xml:space="preserve"> HYPERLINK \l _Toc143940778 </w:instrText>
      </w:r>
      <w:r>
        <w:fldChar w:fldCharType="separate"/>
      </w:r>
      <w:r>
        <w:rPr>
          <w:rFonts w:hint="eastAsia" w:ascii="黑体" w:eastAsia="黑体"/>
          <w:i w:val="0"/>
        </w:rPr>
        <w:t xml:space="preserve">6 </w:t>
      </w:r>
      <w:r>
        <w:rPr>
          <w:rFonts w:hint="eastAsia"/>
        </w:rPr>
        <w:t>合作程序</w:t>
      </w:r>
      <w:r>
        <w:tab/>
      </w:r>
      <w:r>
        <w:fldChar w:fldCharType="begin"/>
      </w:r>
      <w:r>
        <w:instrText xml:space="preserve"> PAGEREF _Toc143940778 </w:instrText>
      </w:r>
      <w:r>
        <w:fldChar w:fldCharType="separate"/>
      </w:r>
      <w:r>
        <w:t>4</w:t>
      </w:r>
      <w:r>
        <w:fldChar w:fldCharType="end"/>
      </w:r>
      <w:r>
        <w:fldChar w:fldCharType="end"/>
      </w:r>
    </w:p>
    <w:p>
      <w:pPr>
        <w:pStyle w:val="20"/>
        <w:tabs>
          <w:tab w:val="right" w:leader="dot" w:pos="9354"/>
        </w:tabs>
      </w:pPr>
      <w:r>
        <w:fldChar w:fldCharType="begin"/>
      </w:r>
      <w:r>
        <w:instrText xml:space="preserve"> HYPERLINK \l _Toc567869037 </w:instrText>
      </w:r>
      <w:r>
        <w:fldChar w:fldCharType="separate"/>
      </w:r>
      <w:r>
        <w:rPr>
          <w:rFonts w:hint="eastAsia" w:ascii="黑体" w:eastAsia="黑体"/>
          <w:i w:val="0"/>
        </w:rPr>
        <w:t xml:space="preserve">7 </w:t>
      </w:r>
      <w:r>
        <w:rPr>
          <w:rFonts w:hint="eastAsia"/>
        </w:rPr>
        <w:t>经办</w:t>
      </w:r>
      <w:r>
        <w:rPr>
          <w:rFonts w:hint="eastAsia"/>
          <w:szCs w:val="21"/>
        </w:rPr>
        <w:t>规范</w:t>
      </w:r>
      <w:r>
        <w:tab/>
      </w:r>
      <w:r>
        <w:fldChar w:fldCharType="begin"/>
      </w:r>
      <w:r>
        <w:instrText xml:space="preserve"> PAGEREF _Toc567869037 </w:instrText>
      </w:r>
      <w:r>
        <w:fldChar w:fldCharType="separate"/>
      </w:r>
      <w:r>
        <w:t>5</w:t>
      </w:r>
      <w:r>
        <w:fldChar w:fldCharType="end"/>
      </w:r>
      <w:r>
        <w:fldChar w:fldCharType="end"/>
      </w:r>
    </w:p>
    <w:p>
      <w:pPr>
        <w:pStyle w:val="20"/>
        <w:tabs>
          <w:tab w:val="right" w:leader="dot" w:pos="9354"/>
        </w:tabs>
      </w:pPr>
      <w:r>
        <w:fldChar w:fldCharType="begin"/>
      </w:r>
      <w:r>
        <w:instrText xml:space="preserve"> HYPERLINK \l _Toc237125069 </w:instrText>
      </w:r>
      <w:r>
        <w:fldChar w:fldCharType="separate"/>
      </w:r>
      <w:r>
        <w:rPr>
          <w:rFonts w:hint="eastAsia" w:ascii="黑体" w:eastAsia="黑体"/>
          <w:i w:val="0"/>
        </w:rPr>
        <w:t xml:space="preserve">8 </w:t>
      </w:r>
      <w:r>
        <w:rPr>
          <w:rFonts w:hint="eastAsia"/>
        </w:rPr>
        <w:t>管理培训</w:t>
      </w:r>
      <w:r>
        <w:tab/>
      </w:r>
      <w:r>
        <w:fldChar w:fldCharType="begin"/>
      </w:r>
      <w:r>
        <w:instrText xml:space="preserve"> PAGEREF _Toc237125069 </w:instrText>
      </w:r>
      <w:r>
        <w:fldChar w:fldCharType="separate"/>
      </w:r>
      <w:r>
        <w:t>5</w:t>
      </w:r>
      <w:r>
        <w:fldChar w:fldCharType="end"/>
      </w:r>
      <w:r>
        <w:fldChar w:fldCharType="end"/>
      </w:r>
    </w:p>
    <w:p>
      <w:pPr>
        <w:pStyle w:val="20"/>
        <w:tabs>
          <w:tab w:val="right" w:leader="dot" w:pos="9354"/>
        </w:tabs>
      </w:pPr>
      <w:r>
        <w:fldChar w:fldCharType="begin"/>
      </w:r>
      <w:r>
        <w:instrText xml:space="preserve"> HYPERLINK \l _Toc93824838 </w:instrText>
      </w:r>
      <w:r>
        <w:fldChar w:fldCharType="separate"/>
      </w:r>
      <w:r>
        <w:rPr>
          <w:rFonts w:hint="eastAsia" w:ascii="黑体" w:eastAsia="黑体"/>
          <w:i w:val="0"/>
        </w:rPr>
        <w:t xml:space="preserve">9 </w:t>
      </w:r>
      <w:r>
        <w:rPr>
          <w:rFonts w:hint="eastAsia"/>
        </w:rPr>
        <w:t>安全要求</w:t>
      </w:r>
      <w:r>
        <w:tab/>
      </w:r>
      <w:r>
        <w:fldChar w:fldCharType="begin"/>
      </w:r>
      <w:r>
        <w:instrText xml:space="preserve"> PAGEREF _Toc93824838 </w:instrText>
      </w:r>
      <w:r>
        <w:fldChar w:fldCharType="separate"/>
      </w:r>
      <w:r>
        <w:t>6</w:t>
      </w:r>
      <w:r>
        <w:fldChar w:fldCharType="end"/>
      </w:r>
      <w:r>
        <w:fldChar w:fldCharType="end"/>
      </w:r>
    </w:p>
    <w:p>
      <w:pPr>
        <w:pStyle w:val="20"/>
        <w:tabs>
          <w:tab w:val="right" w:leader="dot" w:pos="9354"/>
        </w:tabs>
      </w:pPr>
      <w:r>
        <w:fldChar w:fldCharType="begin"/>
      </w:r>
      <w:r>
        <w:instrText xml:space="preserve"> HYPERLINK \l _Toc1665873554 </w:instrText>
      </w:r>
      <w:r>
        <w:fldChar w:fldCharType="separate"/>
      </w:r>
      <w:r>
        <w:rPr>
          <w:rFonts w:hint="eastAsia" w:ascii="黑体" w:eastAsia="黑体"/>
          <w:i w:val="0"/>
        </w:rPr>
        <w:t xml:space="preserve">10 </w:t>
      </w:r>
      <w:r>
        <w:rPr>
          <w:rFonts w:hint="eastAsia"/>
        </w:rPr>
        <w:t>监督评价</w:t>
      </w:r>
      <w:r>
        <w:tab/>
      </w:r>
      <w:r>
        <w:fldChar w:fldCharType="begin"/>
      </w:r>
      <w:r>
        <w:instrText xml:space="preserve"> PAGEREF _Toc1665873554 </w:instrText>
      </w:r>
      <w:r>
        <w:fldChar w:fldCharType="separate"/>
      </w:r>
      <w:r>
        <w:t>6</w:t>
      </w:r>
      <w:r>
        <w:fldChar w:fldCharType="end"/>
      </w:r>
      <w:r>
        <w:fldChar w:fldCharType="end"/>
      </w:r>
    </w:p>
    <w:p>
      <w:pPr>
        <w:pStyle w:val="20"/>
        <w:tabs>
          <w:tab w:val="right" w:leader="dot" w:pos="9354"/>
        </w:tabs>
      </w:pPr>
      <w:r>
        <w:fldChar w:fldCharType="begin"/>
      </w:r>
      <w:r>
        <w:instrText xml:space="preserve"> HYPERLINK \l _Toc1158824105 </w:instrText>
      </w:r>
      <w:r>
        <w:fldChar w:fldCharType="separate"/>
      </w:r>
      <w:r>
        <w:rPr>
          <w:rFonts w:hint="eastAsia" w:ascii="黑体" w:eastAsia="黑体"/>
          <w:i w:val="0"/>
        </w:rPr>
        <w:t xml:space="preserve">11 </w:t>
      </w:r>
      <w:r>
        <w:rPr>
          <w:rFonts w:hint="eastAsia"/>
          <w:szCs w:val="21"/>
        </w:rPr>
        <w:t>退出机制</w:t>
      </w:r>
      <w:r>
        <w:tab/>
      </w:r>
      <w:r>
        <w:fldChar w:fldCharType="begin"/>
      </w:r>
      <w:r>
        <w:instrText xml:space="preserve"> PAGEREF _Toc1158824105 </w:instrText>
      </w:r>
      <w:r>
        <w:fldChar w:fldCharType="separate"/>
      </w:r>
      <w:r>
        <w:t>7</w:t>
      </w:r>
      <w:r>
        <w:fldChar w:fldCharType="end"/>
      </w:r>
      <w:r>
        <w:fldChar w:fldCharType="end"/>
      </w:r>
    </w:p>
    <w:p>
      <w:pPr>
        <w:pStyle w:val="20"/>
        <w:tabs>
          <w:tab w:val="right" w:leader="dot" w:pos="9354"/>
        </w:tabs>
      </w:pPr>
      <w:r>
        <w:fldChar w:fldCharType="begin"/>
      </w:r>
      <w:r>
        <w:instrText xml:space="preserve"> HYPERLINK \l _Toc695653289 </w:instrText>
      </w:r>
      <w:r>
        <w:fldChar w:fldCharType="separate"/>
      </w:r>
      <w:r>
        <w:rPr>
          <w:rFonts w:hint="eastAsia"/>
          <w:spacing w:val="100"/>
        </w:rPr>
        <w:t xml:space="preserve">附录A </w:t>
      </w:r>
      <w:r>
        <w:t xml:space="preserve"> </w:t>
      </w:r>
      <w:r>
        <w:rPr>
          <w:rFonts w:hint="eastAsia"/>
        </w:rPr>
        <w:t>（规范性）</w:t>
      </w:r>
      <w:r>
        <w:t xml:space="preserve"> </w:t>
      </w:r>
      <w:r>
        <w:rPr>
          <w:rFonts w:hint="eastAsia"/>
        </w:rPr>
        <w:t>标志标识</w:t>
      </w:r>
      <w:r>
        <w:tab/>
      </w:r>
      <w:r>
        <w:fldChar w:fldCharType="begin"/>
      </w:r>
      <w:r>
        <w:instrText xml:space="preserve"> PAGEREF _Toc695653289 </w:instrText>
      </w:r>
      <w:r>
        <w:fldChar w:fldCharType="separate"/>
      </w:r>
      <w:r>
        <w:t>8</w:t>
      </w:r>
      <w:r>
        <w:fldChar w:fldCharType="end"/>
      </w:r>
      <w:r>
        <w:fldChar w:fldCharType="end"/>
      </w:r>
    </w:p>
    <w:p>
      <w:pPr>
        <w:pStyle w:val="20"/>
        <w:tabs>
          <w:tab w:val="right" w:leader="dot" w:pos="9354"/>
        </w:tabs>
      </w:pPr>
      <w:r>
        <w:fldChar w:fldCharType="begin"/>
      </w:r>
      <w:r>
        <w:instrText xml:space="preserve"> HYPERLINK \l _Toc1476227847 </w:instrText>
      </w:r>
      <w:r>
        <w:fldChar w:fldCharType="separate"/>
      </w:r>
      <w:r>
        <w:rPr>
          <w:rFonts w:hint="eastAsia"/>
          <w:spacing w:val="100"/>
        </w:rPr>
        <w:t xml:space="preserve">附录B </w:t>
      </w:r>
      <w:r>
        <w:t xml:space="preserve"> </w:t>
      </w:r>
      <w:r>
        <w:rPr>
          <w:rFonts w:hint="eastAsia"/>
        </w:rPr>
        <w:t>（规范性）</w:t>
      </w:r>
      <w:r>
        <w:t xml:space="preserve"> </w:t>
      </w:r>
      <w:r>
        <w:rPr>
          <w:rFonts w:hint="eastAsia"/>
        </w:rPr>
        <w:t>合作流程图</w:t>
      </w:r>
      <w:r>
        <w:tab/>
      </w:r>
      <w:r>
        <w:fldChar w:fldCharType="begin"/>
      </w:r>
      <w:r>
        <w:instrText xml:space="preserve"> PAGEREF _Toc1476227847 </w:instrText>
      </w:r>
      <w:r>
        <w:fldChar w:fldCharType="separate"/>
      </w:r>
      <w:r>
        <w:t>10</w:t>
      </w:r>
      <w:r>
        <w:fldChar w:fldCharType="end"/>
      </w:r>
      <w:r>
        <w:fldChar w:fldCharType="end"/>
      </w:r>
    </w:p>
    <w:p>
      <w:pPr>
        <w:pStyle w:val="20"/>
        <w:tabs>
          <w:tab w:val="right" w:leader="dot" w:pos="9354"/>
        </w:tabs>
      </w:pPr>
      <w:r>
        <w:fldChar w:fldCharType="begin"/>
      </w:r>
      <w:r>
        <w:instrText xml:space="preserve"> HYPERLINK \l _Toc774277455 </w:instrText>
      </w:r>
      <w:r>
        <w:fldChar w:fldCharType="separate"/>
      </w:r>
      <w:r>
        <w:rPr>
          <w:rFonts w:hint="eastAsia"/>
          <w:spacing w:val="105"/>
        </w:rPr>
        <w:t>参考文</w:t>
      </w:r>
      <w:r>
        <w:rPr>
          <w:rFonts w:hint="eastAsia"/>
        </w:rPr>
        <w:t>献</w:t>
      </w:r>
      <w:r>
        <w:tab/>
      </w:r>
      <w:r>
        <w:fldChar w:fldCharType="begin"/>
      </w:r>
      <w:r>
        <w:instrText xml:space="preserve"> PAGEREF _Toc774277455 </w:instrText>
      </w:r>
      <w:r>
        <w:fldChar w:fldCharType="separate"/>
      </w:r>
      <w:r>
        <w:t>11</w:t>
      </w:r>
      <w:r>
        <w:fldChar w:fldCharType="end"/>
      </w:r>
      <w:r>
        <w:fldChar w:fldCharType="end"/>
      </w:r>
    </w:p>
    <w:p>
      <w:pPr>
        <w:pStyle w:val="92"/>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9"/>
    <w:p>
      <w:pPr>
        <w:pStyle w:val="90"/>
        <w:spacing w:before="900" w:after="468"/>
      </w:pPr>
      <w:bookmarkStart w:id="20" w:name="_Toc588996555"/>
      <w:bookmarkStart w:id="21" w:name="BookMark2"/>
      <w:r>
        <w:rPr>
          <w:spacing w:val="320"/>
        </w:rPr>
        <w:t>前</w:t>
      </w:r>
      <w:r>
        <w:t>言</w:t>
      </w:r>
      <w:bookmarkEnd w:id="20"/>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本文件由中华人民共和国人力资源和社会保障部提出</w:t>
      </w:r>
    </w:p>
    <w:p>
      <w:pPr>
        <w:pStyle w:val="57"/>
        <w:ind w:firstLine="420"/>
      </w:pPr>
      <w:r>
        <w:rPr>
          <w:rFonts w:hint="eastAsia"/>
        </w:rPr>
        <w:t>本文件由全国社会保险标准化技术委员会（SAC/TC 474）归口。</w:t>
      </w:r>
    </w:p>
    <w:p>
      <w:pPr>
        <w:pStyle w:val="57"/>
        <w:ind w:firstLine="420"/>
      </w:pPr>
      <w:r>
        <w:rPr>
          <w:rFonts w:hint="eastAsia"/>
        </w:rPr>
        <w:t>本文件起草单位：人力资源和社会保障部社会保险事业管理中心、浙江省人力资源社会保障厅、河南省社会保险中心、中央国家机关养老保险管理中心、河北省社会保险事业服务中心、江苏省社会保险基金管理中心、福建省机关事业社会保险中心、广东省社会保险基金管理局、广西壮族自治区社会保险事业管理中心、新疆维吾尔自治区昌吉州社会保险管理局</w:t>
      </w:r>
    </w:p>
    <w:p>
      <w:pPr>
        <w:pStyle w:val="57"/>
        <w:ind w:firstLine="420"/>
      </w:pPr>
      <w:r>
        <w:rPr>
          <w:rFonts w:hint="eastAsia"/>
        </w:rPr>
        <w:t>本文件主要起草人：</w:t>
      </w: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638DE8C78EE64C34A594C227BFED8374"/>
        </w:placeholder>
      </w:sdtPr>
      <w:sdtContent>
        <w:p>
          <w:pPr>
            <w:pStyle w:val="178"/>
            <w:spacing w:before="3" w:beforeLines="1" w:after="686" w:afterLines="220"/>
          </w:pPr>
          <w:bookmarkStart w:id="23" w:name="NEW_STAND_NAME"/>
          <w:r>
            <w:rPr>
              <w:rFonts w:hint="eastAsia"/>
            </w:rPr>
            <w:t>合作机构经办社会保险业务规范</w:t>
          </w:r>
        </w:p>
      </w:sdtContent>
    </w:sdt>
    <w:bookmarkEnd w:id="23"/>
    <w:p>
      <w:pPr>
        <w:pStyle w:val="105"/>
        <w:spacing w:before="312" w:after="312"/>
        <w:ind w:left="0"/>
      </w:pPr>
      <w:bookmarkStart w:id="24" w:name="_Toc17233333"/>
      <w:bookmarkStart w:id="25" w:name="_Toc97190718"/>
      <w:bookmarkStart w:id="26" w:name="_Toc26718930"/>
      <w:bookmarkStart w:id="27" w:name="_Toc24884211"/>
      <w:bookmarkStart w:id="28" w:name="_Toc26986771"/>
      <w:bookmarkStart w:id="29" w:name="_Toc24884218"/>
      <w:bookmarkStart w:id="30" w:name="_Toc17233325"/>
      <w:bookmarkStart w:id="31" w:name="_Toc26986530"/>
      <w:bookmarkStart w:id="32" w:name="_Toc140678232"/>
      <w:bookmarkStart w:id="33" w:name="_Toc26648465"/>
      <w:bookmarkStart w:id="34" w:name="_Toc912070836"/>
      <w:r>
        <w:rPr>
          <w:rFonts w:hint="eastAsia"/>
        </w:rPr>
        <w:t>范围</w:t>
      </w:r>
      <w:bookmarkEnd w:id="24"/>
      <w:bookmarkEnd w:id="25"/>
      <w:bookmarkEnd w:id="26"/>
      <w:bookmarkEnd w:id="27"/>
      <w:bookmarkEnd w:id="28"/>
      <w:bookmarkEnd w:id="29"/>
      <w:bookmarkEnd w:id="30"/>
      <w:bookmarkEnd w:id="31"/>
      <w:bookmarkEnd w:id="32"/>
      <w:bookmarkEnd w:id="33"/>
      <w:bookmarkEnd w:id="34"/>
    </w:p>
    <w:p>
      <w:pPr>
        <w:pStyle w:val="57"/>
        <w:ind w:firstLine="420"/>
      </w:pPr>
      <w:bookmarkStart w:id="35" w:name="_Toc17233326"/>
      <w:bookmarkStart w:id="36" w:name="_Toc24884219"/>
      <w:bookmarkStart w:id="37" w:name="_Toc26648466"/>
      <w:bookmarkStart w:id="38" w:name="_Toc17233334"/>
      <w:bookmarkStart w:id="39" w:name="_Toc24884212"/>
      <w:r>
        <w:rPr>
          <w:rFonts w:hint="eastAsia"/>
        </w:rPr>
        <w:t>本文件规定了合作机构经办社会保险业务的合作原则、基本要求、合作程序、经办规范、管理培训、安全要求、监督评价及退出机制。</w:t>
      </w:r>
    </w:p>
    <w:p>
      <w:pPr>
        <w:pStyle w:val="57"/>
        <w:ind w:firstLine="420"/>
      </w:pPr>
      <w:r>
        <w:rPr>
          <w:rFonts w:hint="eastAsia"/>
        </w:rPr>
        <w:t>本文件适用于人力资源和社会保障部门与合作机构开展经办社会保险业务的合作工作。</w:t>
      </w:r>
    </w:p>
    <w:p>
      <w:pPr>
        <w:pStyle w:val="105"/>
        <w:spacing w:before="312" w:after="312"/>
        <w:ind w:left="0"/>
      </w:pPr>
      <w:bookmarkStart w:id="40" w:name="_Toc26986531"/>
      <w:bookmarkStart w:id="41" w:name="_Toc97190719"/>
      <w:bookmarkStart w:id="42" w:name="_Toc26718931"/>
      <w:bookmarkStart w:id="43" w:name="_Toc26986772"/>
      <w:bookmarkStart w:id="44" w:name="_Toc140678233"/>
      <w:bookmarkStart w:id="45" w:name="_Toc2059978085"/>
      <w:r>
        <w:rPr>
          <w:rFonts w:hint="eastAsia"/>
        </w:rPr>
        <w:t>规范性引用文件</w:t>
      </w:r>
      <w:bookmarkEnd w:id="35"/>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911619B107BD4D3EBC8FEF7BE276C62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0"/>
        <w:ind w:firstLine="420" w:firstLineChars="200"/>
        <w:rPr>
          <w:rFonts w:ascii="Times New Roman" w:hAnsi="Times New Roman" w:cs="Times New Roman"/>
        </w:rPr>
      </w:pPr>
      <w:r>
        <w:rPr>
          <w:rFonts w:ascii="Times New Roman" w:hAnsi="Times New Roman" w:cs="Times New Roman"/>
        </w:rPr>
        <w:t>GB/T 10001.1     公共信息图形符号 第1部分：通用符号</w:t>
      </w:r>
    </w:p>
    <w:p>
      <w:pPr>
        <w:pStyle w:val="230"/>
        <w:ind w:right="-944" w:firstLine="420" w:firstLineChars="200"/>
        <w:rPr>
          <w:rFonts w:ascii="Times New Roman" w:hAnsi="Times New Roman" w:cs="Times New Roman"/>
        </w:rPr>
      </w:pPr>
      <w:r>
        <w:rPr>
          <w:rFonts w:ascii="Times New Roman" w:hAnsi="Times New Roman" w:cs="Times New Roman"/>
        </w:rPr>
        <w:t>GB 15630        消防安全标志设置要求</w:t>
      </w:r>
    </w:p>
    <w:p>
      <w:pPr>
        <w:pStyle w:val="230"/>
        <w:ind w:right="-944" w:firstLine="420" w:firstLineChars="200"/>
        <w:rPr>
          <w:rFonts w:ascii="Times New Roman" w:hAnsi="Times New Roman" w:cs="Times New Roman"/>
        </w:rPr>
      </w:pPr>
      <w:r>
        <w:rPr>
          <w:rFonts w:ascii="Times New Roman" w:hAnsi="Times New Roman" w:cs="Times New Roman"/>
        </w:rPr>
        <w:t>GB/T27769-2011  社会保障服务中心设施设备要求</w:t>
      </w:r>
    </w:p>
    <w:p>
      <w:pPr>
        <w:pStyle w:val="230"/>
        <w:ind w:right="-944" w:firstLine="420" w:firstLineChars="200"/>
        <w:rPr>
          <w:rFonts w:ascii="Times New Roman" w:hAnsi="Times New Roman" w:cs="Times New Roman"/>
        </w:rPr>
      </w:pPr>
      <w:r>
        <w:rPr>
          <w:rFonts w:ascii="Times New Roman" w:hAnsi="Times New Roman" w:cs="Times New Roman"/>
        </w:rPr>
        <w:t>LD/T91-2013     社会保险视觉识别系统</w:t>
      </w:r>
    </w:p>
    <w:p>
      <w:pPr>
        <w:pStyle w:val="230"/>
        <w:ind w:right="-944" w:firstLine="420" w:firstLineChars="200"/>
        <w:rPr>
          <w:rFonts w:ascii="Times New Roman" w:hAnsi="Times New Roman" w:cs="Times New Roman"/>
        </w:rPr>
      </w:pPr>
      <w:r>
        <w:rPr>
          <w:rFonts w:ascii="Times New Roman" w:hAnsi="Times New Roman" w:cs="Times New Roman"/>
        </w:rPr>
        <w:t>GB/T31599-2015  社会保险业务档案管理规范</w:t>
      </w:r>
    </w:p>
    <w:p>
      <w:pPr>
        <w:pStyle w:val="230"/>
        <w:ind w:right="-944" w:firstLine="420" w:firstLineChars="200"/>
      </w:pPr>
      <w:r>
        <w:rPr>
          <w:rFonts w:ascii="Times New Roman" w:hAnsi="Times New Roman" w:cs="Times New Roman"/>
        </w:rPr>
        <w:t>LD/T02-2020     社会保险经办人员基本行为规范</w:t>
      </w:r>
    </w:p>
    <w:p>
      <w:pPr>
        <w:pStyle w:val="105"/>
        <w:spacing w:before="312" w:after="312"/>
        <w:ind w:left="0"/>
      </w:pPr>
      <w:bookmarkStart w:id="46" w:name="_Toc97190720"/>
      <w:bookmarkStart w:id="47" w:name="_Toc140678234"/>
      <w:bookmarkStart w:id="48" w:name="_Toc841656772"/>
      <w:r>
        <w:rPr>
          <w:rFonts w:hint="eastAsia"/>
        </w:rPr>
        <w:t>术语和定义</w:t>
      </w:r>
      <w:bookmarkEnd w:id="46"/>
      <w:bookmarkEnd w:id="47"/>
      <w:bookmarkEnd w:id="48"/>
    </w:p>
    <w:sdt>
      <w:sdtPr>
        <w:id w:val="-1909835108"/>
        <w:placeholder>
          <w:docPart w:val="911619B107BD4D3EBC8FEF7BE276C62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9" w:name="_Toc26986532"/>
          <w:bookmarkEnd w:id="49"/>
          <w:r>
            <w:t>下列术语和定义适用于本文件。</w:t>
          </w:r>
        </w:p>
      </w:sdtContent>
    </w:sdt>
    <w:p>
      <w:pPr>
        <w:pStyle w:val="106"/>
        <w:spacing w:before="156" w:after="156"/>
      </w:pPr>
      <w:r>
        <w:rPr>
          <w:rFonts w:hint="eastAsia"/>
        </w:rPr>
        <w:t>合作机构 Partner organizations</w:t>
      </w:r>
    </w:p>
    <w:p>
      <w:pPr>
        <w:pStyle w:val="57"/>
        <w:ind w:firstLine="420"/>
      </w:pPr>
      <w:r>
        <w:rPr>
          <w:rFonts w:hint="eastAsia"/>
        </w:rPr>
        <w:t>人力资源和社会保障部门通过一定方式和程序确定的经办社会保险业务的社会机构，包括但不限于金融机构、商业保险公司、企业等。</w:t>
      </w:r>
    </w:p>
    <w:p>
      <w:pPr>
        <w:pStyle w:val="106"/>
        <w:spacing w:before="156" w:after="156"/>
      </w:pPr>
      <w:r>
        <w:rPr>
          <w:rFonts w:hint="eastAsia"/>
        </w:rPr>
        <w:t>合作网点 Partner outlets</w:t>
      </w:r>
    </w:p>
    <w:p>
      <w:pPr>
        <w:pStyle w:val="57"/>
        <w:ind w:firstLine="420"/>
      </w:pPr>
      <w:r>
        <w:rPr>
          <w:rFonts w:hint="eastAsia"/>
        </w:rPr>
        <w:t>合作机构具体经办社会保险业务的营业网点和便民服务点。</w:t>
      </w:r>
    </w:p>
    <w:p>
      <w:pPr>
        <w:pStyle w:val="106"/>
        <w:spacing w:before="156" w:after="156"/>
      </w:pPr>
      <w:r>
        <w:rPr>
          <w:rFonts w:hint="eastAsia"/>
        </w:rPr>
        <w:t xml:space="preserve">社会保险业务 Social insurance business </w:t>
      </w:r>
    </w:p>
    <w:p>
      <w:pPr>
        <w:pStyle w:val="57"/>
        <w:ind w:firstLine="420"/>
      </w:pPr>
      <w:r>
        <w:rPr>
          <w:rFonts w:hint="eastAsia"/>
        </w:rPr>
        <w:t>人力资源和社会保障部门负责经办的基本养老保险、工伤保险、失业保险、社会保障卡等业务的统称。</w:t>
      </w:r>
    </w:p>
    <w:p>
      <w:pPr>
        <w:pStyle w:val="105"/>
        <w:spacing w:before="312" w:after="312"/>
        <w:ind w:left="0"/>
      </w:pPr>
      <w:bookmarkStart w:id="50" w:name="_Toc36357191"/>
      <w:r>
        <w:rPr>
          <w:rFonts w:hint="eastAsia"/>
        </w:rPr>
        <w:t>合作原则</w:t>
      </w:r>
      <w:bookmarkEnd w:id="50"/>
    </w:p>
    <w:p>
      <w:pPr>
        <w:pStyle w:val="106"/>
        <w:spacing w:before="156" w:after="156"/>
      </w:pPr>
      <w:r>
        <w:rPr>
          <w:rFonts w:hint="eastAsia"/>
        </w:rPr>
        <w:t xml:space="preserve"> 坚持依法合规、平等自愿、便捷利民、安全规范的原则。</w:t>
      </w:r>
    </w:p>
    <w:p>
      <w:pPr>
        <w:pStyle w:val="57"/>
        <w:ind w:firstLine="420"/>
      </w:pPr>
      <w:r>
        <w:rPr>
          <w:rFonts w:hint="eastAsia"/>
        </w:rPr>
        <w:t>——依法合规是指合作双方根据社会保险的法律、法规、规章及相关政策开展社会保险经办工作，正确行使国家赋予的工作职权，维护社会公共利益和服务对象的合法权益。</w:t>
      </w:r>
    </w:p>
    <w:p>
      <w:pPr>
        <w:pStyle w:val="57"/>
        <w:ind w:firstLine="420"/>
      </w:pPr>
      <w:r>
        <w:rPr>
          <w:rFonts w:hint="eastAsia"/>
        </w:rPr>
        <w:t>——平等自愿是指合作双方本着共赢的原则，有意愿向群众提供社会保险服务，经双方平等协商而达成的合作。</w:t>
      </w:r>
    </w:p>
    <w:p>
      <w:pPr>
        <w:pStyle w:val="57"/>
        <w:ind w:firstLine="420"/>
      </w:pPr>
      <w:r>
        <w:rPr>
          <w:rFonts w:hint="eastAsia"/>
        </w:rPr>
        <w:t>——便捷利民是指合作双方选择网点时应充分考虑人口密度、距离远近和网点总体布局等要素，方便群众就近办理、快速办理。</w:t>
      </w:r>
    </w:p>
    <w:p>
      <w:pPr>
        <w:pStyle w:val="57"/>
        <w:ind w:firstLine="420"/>
      </w:pPr>
      <w:r>
        <w:rPr>
          <w:rFonts w:hint="eastAsia"/>
        </w:rPr>
        <w:t>——安全规范是指合作双方根据社会保险经办规定和程序及相关安全要求，规范社会保险经办行为，提供规范统一的社会保险服务。</w:t>
      </w:r>
    </w:p>
    <w:p>
      <w:pPr>
        <w:pStyle w:val="163"/>
      </w:pPr>
      <w:r>
        <w:rPr>
          <w:rFonts w:hint="eastAsia"/>
        </w:rPr>
        <w:t>合作双方应按照统一基本要求、统一合作程序、统一经办规范、统一管理培训、统一安全要求、统一监督评价、统一退出机制的要求开展合作。</w:t>
      </w:r>
    </w:p>
    <w:p>
      <w:pPr>
        <w:pStyle w:val="105"/>
        <w:spacing w:before="312" w:after="312"/>
        <w:ind w:left="0"/>
      </w:pPr>
      <w:r>
        <w:rPr>
          <w:rFonts w:hint="eastAsia"/>
        </w:rPr>
        <w:t xml:space="preserve"> </w:t>
      </w:r>
      <w:bookmarkStart w:id="51" w:name="_Toc643383615"/>
      <w:r>
        <w:rPr>
          <w:rFonts w:hint="eastAsia"/>
        </w:rPr>
        <w:t>基本</w:t>
      </w:r>
      <w:r>
        <w:rPr>
          <w:rFonts w:hint="eastAsia"/>
          <w:szCs w:val="21"/>
        </w:rPr>
        <w:t>要求</w:t>
      </w:r>
      <w:bookmarkEnd w:id="51"/>
    </w:p>
    <w:p>
      <w:pPr>
        <w:pStyle w:val="106"/>
        <w:spacing w:before="156" w:after="156"/>
      </w:pPr>
      <w:r>
        <w:rPr>
          <w:rFonts w:hint="eastAsia"/>
        </w:rPr>
        <w:t>场地要求</w:t>
      </w:r>
    </w:p>
    <w:p>
      <w:pPr>
        <w:pStyle w:val="57"/>
        <w:ind w:firstLine="420"/>
      </w:pPr>
      <w:r>
        <w:rPr>
          <w:rFonts w:hint="eastAsia"/>
        </w:rPr>
        <w:t>合作机构须具有面向社会提供服务的营业场所，具有规范的行业服务管理能力和健全的管理制度，设立的功能区应符合社会保险业务经办需要，导向性标志和功能性标志明显。同等条件下，具备延伸到乡镇（街道）、村（社区）营业网点和便民服务点优势的合作机构优先考虑。</w:t>
      </w:r>
    </w:p>
    <w:p>
      <w:pPr>
        <w:pStyle w:val="106"/>
        <w:spacing w:before="156" w:after="156"/>
      </w:pPr>
      <w:r>
        <w:rPr>
          <w:rFonts w:hint="eastAsia"/>
        </w:rPr>
        <w:t>设施设备</w:t>
      </w:r>
    </w:p>
    <w:p>
      <w:pPr>
        <w:pStyle w:val="166"/>
      </w:pPr>
      <w:r>
        <w:rPr>
          <w:rFonts w:hint="eastAsia"/>
        </w:rPr>
        <w:t>应配备符合安全要求的合作服务设备设施，包括但不限于配置计算机、高拍仪或扫描仪、社会保障卡读卡器和制卡机、打印机等。配置数量应满足业务经办需要。</w:t>
      </w:r>
    </w:p>
    <w:p>
      <w:pPr>
        <w:pStyle w:val="166"/>
      </w:pPr>
      <w:r>
        <w:rPr>
          <w:rFonts w:hint="eastAsia"/>
        </w:rPr>
        <w:t>合作服务区域标志、标牌的设计和设置应符合GB/T27769-2011《社会保障服务中心设施设备要求》、LD/T91-2013《社会保险视觉识别系统》的要求。</w:t>
      </w:r>
    </w:p>
    <w:p>
      <w:pPr>
        <w:pStyle w:val="106"/>
        <w:spacing w:before="156" w:after="156"/>
      </w:pPr>
      <w:r>
        <w:rPr>
          <w:rFonts w:hint="eastAsia"/>
        </w:rPr>
        <w:t>服务人员</w:t>
      </w:r>
    </w:p>
    <w:p>
      <w:pPr>
        <w:pStyle w:val="57"/>
        <w:ind w:firstLine="420"/>
      </w:pPr>
      <w:r>
        <w:rPr>
          <w:rFonts w:hint="eastAsia"/>
        </w:rPr>
        <w:t>服务人员基本素质、服务形象、服务要求和服务用语应符合LD/T02-2020《社会保险经办人员基本行为规范》要求。</w:t>
      </w:r>
    </w:p>
    <w:p>
      <w:pPr>
        <w:pStyle w:val="106"/>
        <w:spacing w:before="156" w:after="156"/>
      </w:pPr>
      <w:r>
        <w:rPr>
          <w:rFonts w:hint="eastAsia"/>
        </w:rPr>
        <w:t>服务形式</w:t>
      </w:r>
    </w:p>
    <w:p>
      <w:pPr>
        <w:pStyle w:val="57"/>
        <w:ind w:firstLine="420"/>
      </w:pPr>
      <w:r>
        <w:rPr>
          <w:rFonts w:hint="eastAsia"/>
        </w:rPr>
        <w:t>主要包括但不限于业务受理服务、自助服务、咨询服务、上门服务等。</w:t>
      </w:r>
    </w:p>
    <w:p>
      <w:pPr>
        <w:pStyle w:val="105"/>
        <w:spacing w:before="312" w:after="312"/>
        <w:ind w:left="0"/>
      </w:pPr>
      <w:bookmarkStart w:id="52" w:name="_Toc143940778"/>
      <w:r>
        <w:rPr>
          <w:rFonts w:hint="eastAsia"/>
        </w:rPr>
        <w:t>合作程序</w:t>
      </w:r>
      <w:bookmarkEnd w:id="52"/>
    </w:p>
    <w:p>
      <w:pPr>
        <w:pStyle w:val="106"/>
        <w:spacing w:before="156" w:after="156"/>
      </w:pPr>
      <w:r>
        <w:rPr>
          <w:rFonts w:hint="eastAsia"/>
        </w:rPr>
        <w:t>提出申请</w:t>
      </w:r>
    </w:p>
    <w:p>
      <w:pPr>
        <w:pStyle w:val="57"/>
        <w:ind w:firstLine="420"/>
      </w:pPr>
      <w:r>
        <w:rPr>
          <w:rFonts w:hint="eastAsia"/>
        </w:rPr>
        <w:t>人力资源和社会保障部门提出合作需求，符合资格条件且有意愿承接</w:t>
      </w:r>
      <w:r>
        <w:rPr>
          <w:rFonts w:hint="default"/>
          <w:lang w:val="en"/>
        </w:rPr>
        <w:t>社会保险</w:t>
      </w:r>
      <w:r>
        <w:rPr>
          <w:rFonts w:hint="eastAsia"/>
        </w:rPr>
        <w:t>业务的合作机构向所在省级、市级或县级人力资源和社会保障部门提出合作意向。</w:t>
      </w:r>
    </w:p>
    <w:p>
      <w:pPr>
        <w:pStyle w:val="106"/>
        <w:spacing w:before="156" w:after="156"/>
      </w:pPr>
      <w:r>
        <w:rPr>
          <w:rFonts w:hint="eastAsia"/>
        </w:rPr>
        <w:t>合理布点</w:t>
      </w:r>
    </w:p>
    <w:p>
      <w:pPr>
        <w:pStyle w:val="57"/>
        <w:ind w:firstLine="420"/>
      </w:pPr>
      <w:r>
        <w:rPr>
          <w:rFonts w:hint="eastAsia"/>
        </w:rPr>
        <w:t>人力资源和社会保障部门会同合作机构，根据人口密度、距离远近、网点整体布局等要素统筹选择合作网点地址。</w:t>
      </w:r>
    </w:p>
    <w:p>
      <w:pPr>
        <w:pStyle w:val="106"/>
        <w:spacing w:before="156" w:after="156"/>
      </w:pPr>
      <w:r>
        <w:rPr>
          <w:rFonts w:hint="eastAsia"/>
        </w:rPr>
        <w:t>检查验收</w:t>
      </w:r>
    </w:p>
    <w:p>
      <w:pPr>
        <w:pStyle w:val="57"/>
        <w:ind w:firstLine="420"/>
      </w:pPr>
      <w:r>
        <w:rPr>
          <w:rFonts w:hint="eastAsia"/>
        </w:rPr>
        <w:t>合作机构按本规范完成场地、设备、人员配置等要求后，提出验收申请。人力资源和社会保障部门应及时进行验收。</w:t>
      </w:r>
    </w:p>
    <w:p>
      <w:pPr>
        <w:pStyle w:val="106"/>
        <w:spacing w:before="156" w:after="156"/>
      </w:pPr>
      <w:r>
        <w:rPr>
          <w:rFonts w:hint="eastAsia"/>
        </w:rPr>
        <w:t>签署协议</w:t>
      </w:r>
    </w:p>
    <w:p>
      <w:pPr>
        <w:pStyle w:val="57"/>
        <w:ind w:firstLine="420"/>
      </w:pPr>
      <w:r>
        <w:rPr>
          <w:rFonts w:hint="eastAsia"/>
        </w:rPr>
        <w:t>验收合格并经双方协商一致，由合作机构与人力资源和社会保障部门签署合作协议。</w:t>
      </w:r>
    </w:p>
    <w:p>
      <w:pPr>
        <w:pStyle w:val="106"/>
        <w:spacing w:before="156" w:after="156"/>
      </w:pPr>
      <w:r>
        <w:rPr>
          <w:rFonts w:hint="eastAsia"/>
        </w:rPr>
        <w:t>完成挂牌</w:t>
      </w:r>
    </w:p>
    <w:p>
      <w:pPr>
        <w:pStyle w:val="57"/>
        <w:ind w:firstLine="420"/>
      </w:pPr>
      <w:r>
        <w:rPr>
          <w:rFonts w:hint="eastAsia"/>
        </w:rPr>
        <w:t>通过验收的合作网点应在显著位置悬挂由人力资源和社会保障部门颁发的“</w:t>
      </w:r>
      <w:r>
        <w:rPr>
          <w:rFonts w:hint="default"/>
          <w:lang w:val="en"/>
        </w:rPr>
        <w:t>社会保险</w:t>
      </w:r>
      <w:r>
        <w:rPr>
          <w:rFonts w:hint="eastAsia"/>
        </w:rPr>
        <w:t>业务服务点”标牌。</w:t>
      </w:r>
    </w:p>
    <w:p>
      <w:pPr>
        <w:pStyle w:val="105"/>
        <w:spacing w:before="312" w:after="312"/>
        <w:ind w:left="0"/>
      </w:pPr>
      <w:bookmarkStart w:id="53" w:name="_Toc567869037"/>
      <w:r>
        <w:rPr>
          <w:rFonts w:hint="eastAsia"/>
        </w:rPr>
        <w:t>经办</w:t>
      </w:r>
      <w:r>
        <w:rPr>
          <w:rFonts w:hint="eastAsia"/>
          <w:szCs w:val="21"/>
        </w:rPr>
        <w:t>规范</w:t>
      </w:r>
      <w:bookmarkEnd w:id="53"/>
    </w:p>
    <w:p>
      <w:pPr>
        <w:pStyle w:val="106"/>
        <w:spacing w:before="156" w:after="156"/>
      </w:pPr>
      <w:r>
        <w:rPr>
          <w:rFonts w:hint="eastAsia"/>
        </w:rPr>
        <w:t>业务范围</w:t>
      </w:r>
    </w:p>
    <w:p>
      <w:pPr>
        <w:pStyle w:val="166"/>
      </w:pPr>
      <w:r>
        <w:rPr>
          <w:rFonts w:hint="eastAsia"/>
        </w:rPr>
        <w:t>已开展合作机构经办社会保险业务的省份，人力资源和社会保障部门确定适宜由合作机构经办的服务事项清单，清单实行动态调整及时向社会公布。</w:t>
      </w:r>
    </w:p>
    <w:p>
      <w:pPr>
        <w:pStyle w:val="166"/>
      </w:pPr>
      <w:r>
        <w:rPr>
          <w:rFonts w:hint="eastAsia"/>
        </w:rPr>
        <w:t>未开展合作机构经办社会保险业务的省份，人力资源和社会保障部门指导合作机构按照由少到多、由简到繁、高频事项优先的原则，形成合作机构经办社会保险业务事项清单，分批次适时向社会公布。</w:t>
      </w:r>
    </w:p>
    <w:p>
      <w:pPr>
        <w:pStyle w:val="106"/>
        <w:spacing w:before="156" w:after="156"/>
      </w:pPr>
      <w:r>
        <w:rPr>
          <w:rFonts w:hint="eastAsia"/>
        </w:rPr>
        <w:t>权限分配</w:t>
      </w:r>
    </w:p>
    <w:p>
      <w:pPr>
        <w:pStyle w:val="57"/>
        <w:ind w:firstLine="420"/>
      </w:pPr>
      <w:r>
        <w:rPr>
          <w:rFonts w:hint="eastAsia"/>
        </w:rPr>
        <w:t>合作网点应根据岗位设置要求提出人员岗位权限配置申请，人力资源和社会保障部门经审核合格后应及时配置相关权限。合作机构实行动态管理，建立权限管理台账，留存备查。</w:t>
      </w:r>
    </w:p>
    <w:p>
      <w:pPr>
        <w:pStyle w:val="106"/>
        <w:spacing w:before="156" w:after="156"/>
      </w:pPr>
      <w:r>
        <w:rPr>
          <w:rFonts w:hint="eastAsia"/>
        </w:rPr>
        <w:t>经办流程</w:t>
      </w:r>
    </w:p>
    <w:p>
      <w:pPr>
        <w:pStyle w:val="57"/>
        <w:ind w:firstLine="420"/>
      </w:pPr>
      <w:r>
        <w:rPr>
          <w:rFonts w:hint="eastAsia"/>
        </w:rPr>
        <w:t>按照人力资源和社会保障部门制定的社会保险业务经办有关规定规范办理。</w:t>
      </w:r>
    </w:p>
    <w:p>
      <w:pPr>
        <w:pStyle w:val="106"/>
        <w:spacing w:before="156" w:after="156"/>
      </w:pPr>
      <w:r>
        <w:rPr>
          <w:rFonts w:hint="eastAsia"/>
        </w:rPr>
        <w:t>经办时限</w:t>
      </w:r>
    </w:p>
    <w:p>
      <w:pPr>
        <w:pStyle w:val="57"/>
        <w:ind w:firstLine="420"/>
      </w:pPr>
      <w:r>
        <w:rPr>
          <w:rFonts w:hint="eastAsia"/>
        </w:rPr>
        <w:t>应符合国家和各省（自治区、直辖市）规定的业务办理时限。</w:t>
      </w:r>
    </w:p>
    <w:p>
      <w:pPr>
        <w:pStyle w:val="106"/>
        <w:spacing w:before="156" w:after="156"/>
      </w:pPr>
      <w:r>
        <w:rPr>
          <w:rFonts w:hint="eastAsia"/>
        </w:rPr>
        <w:t>协调机制</w:t>
      </w:r>
    </w:p>
    <w:p>
      <w:pPr>
        <w:pStyle w:val="57"/>
        <w:ind w:firstLine="420"/>
      </w:pPr>
      <w:r>
        <w:rPr>
          <w:rFonts w:hint="eastAsia"/>
        </w:rPr>
        <w:t>合作机构应与人力资源和社会保障部门建立沟通协调机制，处理业务经办中遇到的问题。</w:t>
      </w:r>
    </w:p>
    <w:p>
      <w:pPr>
        <w:pStyle w:val="106"/>
        <w:spacing w:before="156" w:after="156"/>
      </w:pPr>
      <w:r>
        <w:rPr>
          <w:rFonts w:hint="eastAsia"/>
        </w:rPr>
        <w:t xml:space="preserve">档案管理 </w:t>
      </w:r>
    </w:p>
    <w:p>
      <w:pPr>
        <w:pStyle w:val="57"/>
        <w:ind w:firstLine="420"/>
      </w:pPr>
      <w:r>
        <w:rPr>
          <w:rFonts w:hint="eastAsia"/>
        </w:rPr>
        <w:t>合作机构经办</w:t>
      </w:r>
      <w:r>
        <w:rPr>
          <w:rFonts w:hint="default"/>
          <w:lang w:val="en"/>
        </w:rPr>
        <w:t>社会保险</w:t>
      </w:r>
      <w:r>
        <w:rPr>
          <w:rFonts w:hint="eastAsia"/>
        </w:rPr>
        <w:t>业务的档案管理应符合GB/T31599-2015《社会保险业务档案管理规范》的要求，做好社会保险业务档案归集移交工作。</w:t>
      </w:r>
    </w:p>
    <w:p>
      <w:pPr>
        <w:pStyle w:val="105"/>
        <w:spacing w:before="312" w:after="312"/>
        <w:ind w:left="0"/>
      </w:pPr>
      <w:bookmarkStart w:id="54" w:name="_Toc237125069"/>
      <w:r>
        <w:rPr>
          <w:rFonts w:hint="eastAsia"/>
        </w:rPr>
        <w:t>管理培训</w:t>
      </w:r>
      <w:bookmarkEnd w:id="54"/>
    </w:p>
    <w:p>
      <w:pPr>
        <w:pStyle w:val="106"/>
        <w:spacing w:before="156" w:after="156"/>
      </w:pPr>
      <w:r>
        <w:rPr>
          <w:rFonts w:hint="eastAsia"/>
        </w:rPr>
        <w:t>人员管理</w:t>
      </w:r>
    </w:p>
    <w:p>
      <w:pPr>
        <w:pStyle w:val="166"/>
      </w:pPr>
      <w:r>
        <w:rPr>
          <w:rFonts w:hint="eastAsia"/>
        </w:rPr>
        <w:t xml:space="preserve">合作网点工作人员宜按“专人、专岗、专窗”的要求，设置管理岗、导办咨询岗、经办岗、资料转运岗等岗位，除经办岗外，其他岗位可由网点其它业务的人员兼任。各岗位人员主要职责如下： </w:t>
      </w:r>
    </w:p>
    <w:p>
      <w:pPr>
        <w:pStyle w:val="57"/>
        <w:ind w:firstLine="420"/>
      </w:pPr>
      <w:r>
        <w:rPr>
          <w:rFonts w:hint="eastAsia"/>
        </w:rPr>
        <w:t>——管理岗人员负责与人力资源和社会保障部门进行工作协调及管理合作网点的社会保险业务；</w:t>
      </w:r>
    </w:p>
    <w:p>
      <w:pPr>
        <w:pStyle w:val="57"/>
        <w:ind w:firstLine="420"/>
      </w:pPr>
      <w:r>
        <w:rPr>
          <w:rFonts w:hint="eastAsia"/>
        </w:rPr>
        <w:t>——导办咨询岗人员负责在大厅导办咨询区开展服务，帮助、指导自助服务与网办服务；</w:t>
      </w:r>
    </w:p>
    <w:p>
      <w:pPr>
        <w:pStyle w:val="57"/>
        <w:ind w:firstLine="420"/>
      </w:pPr>
      <w:r>
        <w:rPr>
          <w:rFonts w:hint="eastAsia"/>
        </w:rPr>
        <w:t>——经办岗人员负责具体经办合作网点可办理的社会保险业务；</w:t>
      </w:r>
    </w:p>
    <w:p>
      <w:pPr>
        <w:pStyle w:val="57"/>
        <w:ind w:firstLine="420"/>
      </w:pPr>
      <w:r>
        <w:rPr>
          <w:rFonts w:hint="eastAsia"/>
        </w:rPr>
        <w:t>——资料转运岗人员负责网点经办资料的整理移交工作。</w:t>
      </w:r>
    </w:p>
    <w:p>
      <w:pPr>
        <w:pStyle w:val="166"/>
      </w:pPr>
      <w:r>
        <w:rPr>
          <w:rFonts w:hint="eastAsia"/>
        </w:rPr>
        <w:t xml:space="preserve">合作网点经办社会保险业务的各岗位人员仪容仪表应符合合作机构及人力资源和社会保障部关于社会保险经办管理服务规范化的要求。  </w:t>
      </w:r>
    </w:p>
    <w:p>
      <w:pPr>
        <w:pStyle w:val="106"/>
        <w:spacing w:before="156" w:after="156"/>
      </w:pPr>
      <w:r>
        <w:rPr>
          <w:rFonts w:hint="eastAsia"/>
        </w:rPr>
        <w:t>人员培训</w:t>
      </w:r>
    </w:p>
    <w:p>
      <w:pPr>
        <w:pStyle w:val="166"/>
      </w:pPr>
      <w:r>
        <w:rPr>
          <w:rFonts w:hint="eastAsia"/>
        </w:rPr>
        <w:t>人力资源和社会保障部门负责社会保险业务培训。培训形式和场地由双方会商安排。</w:t>
      </w:r>
    </w:p>
    <w:p>
      <w:pPr>
        <w:pStyle w:val="166"/>
      </w:pPr>
      <w:r>
        <w:rPr>
          <w:rFonts w:hint="eastAsia"/>
        </w:rPr>
        <w:t>人力资源和社会保障部门对从事社会保险业务的各岗位人员开展社会保险法律法规政策培训和业务知识、服务礼仪培训，并对培训效果进行考核，工作人员业务培训考核合格后方可上岗。培训内容包括但不限于社会保险法律法规政策、经办事项办事指南、经办事项操作规程、业务常见问题解答、行业经办服务规范等方面内容。</w:t>
      </w:r>
    </w:p>
    <w:p>
      <w:pPr>
        <w:pStyle w:val="105"/>
        <w:spacing w:before="312" w:after="312"/>
        <w:ind w:left="0"/>
      </w:pPr>
      <w:bookmarkStart w:id="55" w:name="_Toc93824838"/>
      <w:r>
        <w:rPr>
          <w:rFonts w:hint="eastAsia"/>
        </w:rPr>
        <w:t>安全要求</w:t>
      </w:r>
      <w:bookmarkEnd w:id="55"/>
    </w:p>
    <w:p>
      <w:pPr>
        <w:pStyle w:val="106"/>
        <w:spacing w:before="156" w:after="156"/>
      </w:pPr>
      <w:r>
        <w:rPr>
          <w:rFonts w:hint="eastAsia"/>
        </w:rPr>
        <w:t>业务安全</w:t>
      </w:r>
    </w:p>
    <w:p>
      <w:pPr>
        <w:pStyle w:val="166"/>
      </w:pPr>
      <w:r>
        <w:rPr>
          <w:rFonts w:hint="eastAsia"/>
        </w:rPr>
        <w:t>建立业务分级分类管控机制，高风险业务应由人力资源社会保障部门复核。</w:t>
      </w:r>
    </w:p>
    <w:p>
      <w:pPr>
        <w:pStyle w:val="166"/>
      </w:pPr>
      <w:r>
        <w:rPr>
          <w:rFonts w:hint="eastAsia"/>
        </w:rPr>
        <w:t>人力资源社会保障部门应与合作机构建立岗位权限管理办法，实现岗位制衡、风险管控。</w:t>
      </w:r>
    </w:p>
    <w:p>
      <w:pPr>
        <w:pStyle w:val="106"/>
        <w:spacing w:before="156" w:after="156"/>
      </w:pPr>
      <w:r>
        <w:rPr>
          <w:rFonts w:hint="eastAsia"/>
        </w:rPr>
        <w:t>网络安全</w:t>
      </w:r>
    </w:p>
    <w:p>
      <w:pPr>
        <w:pStyle w:val="166"/>
      </w:pPr>
      <w:r>
        <w:rPr>
          <w:rFonts w:hint="eastAsia"/>
        </w:rPr>
        <w:t>合作机构须与人力资源和社会保障部门实现总对总专线网络联通，按照国家相关法律法规保障网络传输安全。业务经办终端严禁接入互联网，严禁使用未经安全认证的外接存储设备。</w:t>
      </w:r>
    </w:p>
    <w:p>
      <w:pPr>
        <w:pStyle w:val="166"/>
      </w:pPr>
      <w:r>
        <w:rPr>
          <w:rFonts w:hint="eastAsia"/>
        </w:rPr>
        <w:t>合作机构应定期检查网络安全设备运行情况，确保网络安全设备运行稳定，排除网络安全隐患。定期对网络和终端日志进行审计，网络和终端日志文件至少保留一年。</w:t>
      </w:r>
    </w:p>
    <w:p>
      <w:pPr>
        <w:pStyle w:val="106"/>
        <w:spacing w:before="156" w:after="156"/>
      </w:pPr>
      <w:r>
        <w:rPr>
          <w:rFonts w:hint="eastAsia"/>
        </w:rPr>
        <w:t>数据安全</w:t>
      </w:r>
    </w:p>
    <w:p>
      <w:pPr>
        <w:pStyle w:val="57"/>
        <w:ind w:firstLine="420"/>
      </w:pPr>
      <w:r>
        <w:rPr>
          <w:rFonts w:hint="eastAsia"/>
        </w:rPr>
        <w:t>合作机构须与人力资源和社会保障部门签订信息保密协议，对经办人员进行保密、安全教育。合作网点应做好数据安全和信息保密工作，除法律法规和政策规定外，不得无故向第三方透露。</w:t>
      </w:r>
    </w:p>
    <w:p>
      <w:pPr>
        <w:pStyle w:val="106"/>
        <w:spacing w:before="156" w:after="156"/>
      </w:pPr>
      <w:r>
        <w:rPr>
          <w:rFonts w:hint="eastAsia"/>
        </w:rPr>
        <w:t>操作安全</w:t>
      </w:r>
    </w:p>
    <w:p>
      <w:pPr>
        <w:pStyle w:val="57"/>
        <w:ind w:firstLine="420"/>
      </w:pPr>
      <w:r>
        <w:rPr>
          <w:rFonts w:hint="eastAsia"/>
        </w:rPr>
        <w:t xml:space="preserve">合作网点应对业务经办人员的身份进行确认，须按照人力资源和社会保障部门安全管理要求实人实名登录业务信息系统，保障业务经办人员合法性和可追溯性。 </w:t>
      </w:r>
    </w:p>
    <w:p>
      <w:pPr>
        <w:pStyle w:val="106"/>
        <w:spacing w:before="156" w:after="156"/>
      </w:pPr>
      <w:r>
        <w:rPr>
          <w:rFonts w:hint="eastAsia"/>
        </w:rPr>
        <w:t>设施设备安全</w:t>
      </w:r>
    </w:p>
    <w:p>
      <w:pPr>
        <w:pStyle w:val="166"/>
      </w:pPr>
      <w:r>
        <w:rPr>
          <w:rFonts w:hint="eastAsia"/>
        </w:rPr>
        <w:t>合作网点应符合消防、安保要求。消防设施标志应符合GB 15630的要求。</w:t>
      </w:r>
    </w:p>
    <w:p>
      <w:pPr>
        <w:pStyle w:val="166"/>
      </w:pPr>
      <w:r>
        <w:rPr>
          <w:rFonts w:hint="eastAsia"/>
        </w:rPr>
        <w:t>合作机构经办</w:t>
      </w:r>
      <w:r>
        <w:rPr>
          <w:rFonts w:hint="default"/>
          <w:lang w:val="en"/>
        </w:rPr>
        <w:t>社会保险</w:t>
      </w:r>
      <w:r>
        <w:rPr>
          <w:rFonts w:hint="eastAsia"/>
        </w:rPr>
        <w:t>业务的自助服务终端，应具备操作日志记录、数据加密等安全防护功能，能实现所有</w:t>
      </w:r>
      <w:r>
        <w:rPr>
          <w:rFonts w:hint="default"/>
          <w:lang w:val="en"/>
        </w:rPr>
        <w:t>社会保险</w:t>
      </w:r>
      <w:r>
        <w:rPr>
          <w:rFonts w:hint="eastAsia"/>
        </w:rPr>
        <w:t>业务可追溯。</w:t>
      </w:r>
    </w:p>
    <w:p>
      <w:pPr>
        <w:pStyle w:val="105"/>
        <w:spacing w:before="312" w:after="312"/>
        <w:ind w:left="0"/>
      </w:pPr>
      <w:bookmarkStart w:id="56" w:name="_Toc1665873554"/>
      <w:r>
        <w:rPr>
          <w:rFonts w:hint="eastAsia"/>
        </w:rPr>
        <w:t>监督评价</w:t>
      </w:r>
      <w:bookmarkEnd w:id="56"/>
    </w:p>
    <w:p>
      <w:pPr>
        <w:pStyle w:val="106"/>
        <w:spacing w:before="156" w:after="156"/>
      </w:pPr>
      <w:r>
        <w:rPr>
          <w:rFonts w:hint="eastAsia"/>
        </w:rPr>
        <w:t>服务监督</w:t>
      </w:r>
    </w:p>
    <w:p>
      <w:pPr>
        <w:pStyle w:val="57"/>
        <w:ind w:firstLine="420"/>
      </w:pPr>
      <w:r>
        <w:rPr>
          <w:rFonts w:hint="eastAsia"/>
        </w:rPr>
        <w:t>人力资源和社会保障部门应对合作机构建立服务质量日常监督检查制度。合作机构应设置投诉电话、意见箱（簿）等服务质量监督、投诉设施，公布服务公约、服务承诺，接受服务对象、有关部门和社会公众的监督。</w:t>
      </w:r>
    </w:p>
    <w:p>
      <w:pPr>
        <w:pStyle w:val="106"/>
        <w:spacing w:before="156" w:after="156"/>
      </w:pPr>
      <w:r>
        <w:rPr>
          <w:rFonts w:hint="eastAsia"/>
        </w:rPr>
        <w:t>服务评价</w:t>
      </w:r>
    </w:p>
    <w:p>
      <w:pPr>
        <w:pStyle w:val="57"/>
        <w:ind w:firstLine="420"/>
      </w:pPr>
      <w:r>
        <w:rPr>
          <w:rFonts w:hint="eastAsia"/>
        </w:rPr>
        <w:t>内容包括但不限于合作机构履行协议情况、设施设备配备情况、人员配备和在岗情况、</w:t>
      </w:r>
      <w:r>
        <w:rPr>
          <w:rFonts w:hint="default"/>
          <w:lang w:val="en"/>
        </w:rPr>
        <w:t>社会保险</w:t>
      </w:r>
      <w:r>
        <w:rPr>
          <w:rFonts w:hint="eastAsia"/>
        </w:rPr>
        <w:t>经办业务经办规范、准确程度、</w:t>
      </w:r>
      <w:r>
        <w:rPr>
          <w:rFonts w:hint="default"/>
          <w:lang w:val="en"/>
        </w:rPr>
        <w:t>社会保险</w:t>
      </w:r>
      <w:r>
        <w:rPr>
          <w:rFonts w:hint="eastAsia"/>
        </w:rPr>
        <w:t>经办业务数据的安全保密情况和服务“好差评”、群众投诉、媒体曝光与改进情况、</w:t>
      </w:r>
      <w:r>
        <w:rPr>
          <w:rFonts w:hint="default"/>
          <w:lang w:val="en"/>
        </w:rPr>
        <w:t>社会保险</w:t>
      </w:r>
      <w:r>
        <w:rPr>
          <w:rFonts w:hint="eastAsia"/>
        </w:rPr>
        <w:t>政策宣传推广等。</w:t>
      </w:r>
    </w:p>
    <w:p>
      <w:pPr>
        <w:pStyle w:val="106"/>
        <w:spacing w:before="156" w:after="156"/>
      </w:pPr>
      <w:r>
        <w:rPr>
          <w:rFonts w:hint="eastAsia"/>
        </w:rPr>
        <w:t>结果应用</w:t>
      </w:r>
    </w:p>
    <w:p>
      <w:pPr>
        <w:pStyle w:val="57"/>
        <w:ind w:firstLine="420"/>
      </w:pPr>
      <w:r>
        <w:rPr>
          <w:rFonts w:hint="eastAsia"/>
        </w:rPr>
        <w:t>评价结果可作为人力资源和社会保障部门与合作机构继续或终止合作的依据，也作为合作机构改进社会保险业务经办工作的依据。</w:t>
      </w:r>
    </w:p>
    <w:p>
      <w:pPr>
        <w:pStyle w:val="105"/>
        <w:spacing w:before="312" w:after="312"/>
        <w:ind w:left="0"/>
      </w:pPr>
      <w:bookmarkStart w:id="57" w:name="_Toc1158824105"/>
      <w:r>
        <w:rPr>
          <w:rFonts w:hint="eastAsia"/>
          <w:szCs w:val="21"/>
        </w:rPr>
        <w:t>退出机制</w:t>
      </w:r>
      <w:bookmarkEnd w:id="57"/>
    </w:p>
    <w:p>
      <w:pPr>
        <w:pStyle w:val="106"/>
        <w:spacing w:before="156" w:after="156"/>
      </w:pPr>
      <w:r>
        <w:rPr>
          <w:rFonts w:hint="eastAsia"/>
        </w:rPr>
        <w:t>主动退出</w:t>
      </w:r>
    </w:p>
    <w:p>
      <w:pPr>
        <w:pStyle w:val="57"/>
        <w:ind w:firstLine="420"/>
      </w:pPr>
      <w:r>
        <w:rPr>
          <w:rFonts w:hint="eastAsia"/>
        </w:rPr>
        <w:t>合作机构因资源不足、网点合并、搬迁、撤销等客观条件发生变化，无法继续经办社会保险业务的，应向人力资源和社会保障部门提出退出申请，经人力资源和社会保障部门核准后可终止合作关系。</w:t>
      </w:r>
    </w:p>
    <w:p>
      <w:pPr>
        <w:pStyle w:val="106"/>
        <w:spacing w:before="156" w:after="156"/>
      </w:pPr>
      <w:r>
        <w:rPr>
          <w:rFonts w:hint="eastAsia"/>
        </w:rPr>
        <w:t>强制退出</w:t>
      </w:r>
    </w:p>
    <w:p>
      <w:pPr>
        <w:pStyle w:val="57"/>
        <w:ind w:firstLine="420"/>
      </w:pPr>
      <w:r>
        <w:rPr>
          <w:rFonts w:hint="eastAsia"/>
        </w:rPr>
        <w:t>合作机构存在违反保密义务造成严重影响、发生经办重大失误整改不到位、服务对象投诉反映较大、被上级有关部门通报批评和其他对人力资源和社会保障部门形象造成严重影响的行为将强制退出。</w:t>
      </w:r>
    </w:p>
    <w:p>
      <w:pPr>
        <w:pStyle w:val="106"/>
        <w:spacing w:before="156" w:after="156"/>
      </w:pPr>
      <w:r>
        <w:rPr>
          <w:rFonts w:hint="eastAsia"/>
        </w:rPr>
        <w:t>终止合作</w:t>
      </w:r>
    </w:p>
    <w:p>
      <w:pPr>
        <w:pStyle w:val="57"/>
        <w:ind w:firstLine="420"/>
      </w:pPr>
      <w:r>
        <w:rPr>
          <w:rFonts w:hint="eastAsia"/>
        </w:rPr>
        <w:t>经人力资源和社会保障部门核准后解除合作的，应及时向社会发布公告，并进行资料移交，撤回合作机构经办社会保险业务的相关标识标牌，封停合作机构经办社会保险业务的岗位权限。</w:t>
      </w:r>
    </w:p>
    <w:p>
      <w:pPr>
        <w:pStyle w:val="57"/>
        <w:ind w:firstLine="0" w:firstLineChars="0"/>
        <w:sectPr>
          <w:pgSz w:w="11906" w:h="16838"/>
          <w:pgMar w:top="1928" w:right="1134" w:bottom="1134" w:left="1134" w:header="1418" w:footer="1134" w:gutter="284"/>
          <w:cols w:space="425" w:num="1"/>
          <w:formProt w:val="0"/>
          <w:docGrid w:type="lines" w:linePitch="312" w:charSpace="0"/>
        </w:sectPr>
      </w:pPr>
    </w:p>
    <w:bookmarkEnd w:id="22"/>
    <w:p>
      <w:pPr>
        <w:pStyle w:val="200"/>
        <w:numPr>
          <w:ilvl w:val="0"/>
          <w:numId w:val="0"/>
        </w:numPr>
        <w:jc w:val="both"/>
        <w:rPr>
          <w:vanish w:val="0"/>
        </w:rPr>
      </w:pPr>
      <w:bookmarkStart w:id="58" w:name="BookMark5"/>
    </w:p>
    <w:p>
      <w:pPr>
        <w:pStyle w:val="77"/>
        <w:spacing w:after="156"/>
      </w:pPr>
      <w:bookmarkStart w:id="59" w:name="_Toc695653289"/>
      <w:r>
        <w:br w:type="textWrapping"/>
      </w:r>
      <w:r>
        <w:rPr>
          <w:rFonts w:hint="eastAsia"/>
        </w:rPr>
        <w:t>（规范性）</w:t>
      </w:r>
      <w:r>
        <w:br w:type="textWrapping"/>
      </w:r>
      <w:r>
        <w:rPr>
          <w:rFonts w:hint="eastAsia"/>
        </w:rPr>
        <w:t>标志标识</w:t>
      </w:r>
      <w:bookmarkEnd w:id="59"/>
    </w:p>
    <w:p>
      <w:pPr>
        <w:pStyle w:val="79"/>
        <w:spacing w:before="156" w:after="156"/>
      </w:pPr>
    </w:p>
    <w:p>
      <w:pPr>
        <w:pStyle w:val="57"/>
        <w:ind w:firstLine="420"/>
      </w:pPr>
      <w:r>
        <w:rPr>
          <w:rFonts w:hint="eastAsia"/>
        </w:rPr>
        <w:t>用于合作机构</w:t>
      </w:r>
      <w:r>
        <w:rPr>
          <w:rFonts w:hint="default"/>
          <w:lang w:val="en"/>
        </w:rPr>
        <w:t>社会保险</w:t>
      </w:r>
      <w:r>
        <w:rPr>
          <w:rFonts w:hint="eastAsia"/>
        </w:rPr>
        <w:t>业务窗口（柜台）标识，方便群众识别。窗口（柜台）标志为蓝底白字。字体中文为方正黑体简体，英文使用方正大黑简体，其尺寸规格长度为1 000 mm，宽度为250 mm。实际规格可根据情况同比例调整。窗口（柜台）标识使用材质各地情况自行决定 。具体见图A.1。悬挂经办窗口上方，或以电子显示屏方式显示“</w:t>
      </w:r>
      <w:r>
        <w:rPr>
          <w:rFonts w:hint="default"/>
          <w:lang w:val="en"/>
        </w:rPr>
        <w:t>社会保险</w:t>
      </w:r>
      <w:r>
        <w:rPr>
          <w:rFonts w:hint="eastAsia"/>
        </w:rPr>
        <w:t>业务窗口”。</w:t>
      </w:r>
    </w:p>
    <w:p>
      <w:pPr>
        <w:pStyle w:val="57"/>
        <w:ind w:firstLine="420"/>
        <w:rPr>
          <w:rFonts w:hint="eastAsia"/>
        </w:rPr>
      </w:pPr>
      <w:r>
        <w:rPr>
          <w:rFonts w:hint="eastAsia"/>
        </w:rPr>
        <w:t>窗口（柜台）标志应符合 GB/T 27769-2011 附录 D.1 的规定。</w:t>
      </w:r>
    </w:p>
    <w:p>
      <w:pPr>
        <w:pStyle w:val="57"/>
        <w:ind w:left="0" w:leftChars="0" w:firstLine="0" w:firstLineChars="0"/>
        <w:jc w:val="center"/>
        <w:rPr>
          <w:rFonts w:hint="default"/>
          <w:lang w:val="en"/>
        </w:rPr>
      </w:pPr>
      <w:r>
        <w:rPr>
          <w:rFonts w:hint="default"/>
          <w:lang w:val="en"/>
        </w:rPr>
        <w:drawing>
          <wp:inline distT="0" distB="0" distL="114300" distR="114300">
            <wp:extent cx="3780155" cy="1208405"/>
            <wp:effectExtent l="0" t="0" r="10795" b="10795"/>
            <wp:docPr id="3" name="图片 3" descr="社会保险业务窗口"/>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社会保险业务窗口"/>
                    <pic:cNvPicPr>
                      <a:picLocks noChangeAspect="true"/>
                    </pic:cNvPicPr>
                  </pic:nvPicPr>
                  <pic:blipFill>
                    <a:blip r:embed="rId15"/>
                    <a:stretch>
                      <a:fillRect/>
                    </a:stretch>
                  </pic:blipFill>
                  <pic:spPr>
                    <a:xfrm>
                      <a:off x="0" y="0"/>
                      <a:ext cx="3780155" cy="1208405"/>
                    </a:xfrm>
                    <a:prstGeom prst="rect">
                      <a:avLst/>
                    </a:prstGeom>
                  </pic:spPr>
                </pic:pic>
              </a:graphicData>
            </a:graphic>
          </wp:inline>
        </w:drawing>
      </w:r>
    </w:p>
    <w:p>
      <w:pPr>
        <w:pStyle w:val="84"/>
        <w:spacing w:before="156" w:after="156"/>
      </w:pPr>
      <w:r>
        <w:t>窗口标识</w:t>
      </w:r>
    </w:p>
    <w:p>
      <w:pPr>
        <w:pStyle w:val="199"/>
      </w:pPr>
      <w:r>
        <w:t>功能区域指示标志</w:t>
      </w:r>
    </w:p>
    <w:p>
      <w:pPr>
        <w:pStyle w:val="79"/>
        <w:spacing w:before="156" w:after="156"/>
      </w:pPr>
      <w:r>
        <w:rPr>
          <w:rFonts w:hint="eastAsia"/>
        </w:rPr>
        <w:t>功能区域指示标志</w:t>
      </w:r>
    </w:p>
    <w:p>
      <w:pPr>
        <w:pStyle w:val="57"/>
        <w:ind w:firstLine="420"/>
      </w:pPr>
      <w:r>
        <w:rPr>
          <w:rFonts w:hint="eastAsia"/>
        </w:rPr>
        <w:t>功能区域指示标志应符合 GB/T 27769-2011 附录 C.5 的规定。</w:t>
      </w:r>
    </w:p>
    <w:p>
      <w:pPr>
        <w:pStyle w:val="80"/>
        <w:spacing w:before="156" w:after="156"/>
      </w:pPr>
      <w:r>
        <w:rPr>
          <w:rFonts w:hint="eastAsia"/>
        </w:rPr>
        <w:t>导办区式样</w:t>
      </w:r>
    </w:p>
    <w:p>
      <w:pPr>
        <w:pStyle w:val="57"/>
        <w:ind w:left="0" w:leftChars="0" w:firstLine="0" w:firstLineChars="0"/>
        <w:jc w:val="center"/>
        <w:rPr>
          <w:rFonts w:hint="default"/>
          <w:lang w:val="en"/>
        </w:rPr>
      </w:pPr>
      <w:r>
        <w:rPr>
          <w:rFonts w:hint="default"/>
          <w:lang w:val="en"/>
        </w:rPr>
        <w:drawing>
          <wp:inline distT="0" distB="0" distL="114300" distR="114300">
            <wp:extent cx="3780155" cy="1159510"/>
            <wp:effectExtent l="0" t="0" r="10795" b="2540"/>
            <wp:docPr id="6" name="图片 6" descr="2.社会保险业务导办区"/>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descr="2.社会保险业务导办区"/>
                    <pic:cNvPicPr>
                      <a:picLocks noChangeAspect="true"/>
                    </pic:cNvPicPr>
                  </pic:nvPicPr>
                  <pic:blipFill>
                    <a:blip r:embed="rId16"/>
                    <a:stretch>
                      <a:fillRect/>
                    </a:stretch>
                  </pic:blipFill>
                  <pic:spPr>
                    <a:xfrm>
                      <a:off x="0" y="0"/>
                      <a:ext cx="3780155" cy="1159510"/>
                    </a:xfrm>
                    <a:prstGeom prst="rect">
                      <a:avLst/>
                    </a:prstGeom>
                  </pic:spPr>
                </pic:pic>
              </a:graphicData>
            </a:graphic>
          </wp:inline>
        </w:drawing>
      </w:r>
    </w:p>
    <w:p>
      <w:pPr>
        <w:pStyle w:val="84"/>
        <w:numPr>
          <w:ilvl w:val="0"/>
          <w:numId w:val="0"/>
        </w:numPr>
        <w:spacing w:before="156" w:after="156"/>
      </w:pPr>
      <w:r>
        <w:rPr>
          <w:rFonts w:hint="eastAsia"/>
        </w:rPr>
        <w:t>图A</w:t>
      </w:r>
      <w:r>
        <w:t>.2.1 导办区式样</w:t>
      </w:r>
    </w:p>
    <w:p>
      <w:pPr>
        <w:pStyle w:val="80"/>
        <w:spacing w:before="156" w:after="156"/>
      </w:pPr>
      <w:r>
        <w:t>网办区式样</w:t>
      </w:r>
    </w:p>
    <w:p>
      <w:pPr>
        <w:pStyle w:val="57"/>
        <w:ind w:left="0" w:leftChars="0" w:firstLine="0" w:firstLineChars="0"/>
        <w:jc w:val="center"/>
      </w:pPr>
      <w:r>
        <w:rPr>
          <w:rFonts w:hint="default"/>
          <w:lang w:val="en"/>
        </w:rPr>
        <w:drawing>
          <wp:inline distT="0" distB="0" distL="114300" distR="114300">
            <wp:extent cx="3780155" cy="1168400"/>
            <wp:effectExtent l="0" t="0" r="10795" b="12700"/>
            <wp:docPr id="8" name="图片 8" descr="3.社会保险业务网办区"/>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3.社会保险业务网办区"/>
                    <pic:cNvPicPr>
                      <a:picLocks noChangeAspect="true"/>
                    </pic:cNvPicPr>
                  </pic:nvPicPr>
                  <pic:blipFill>
                    <a:blip r:embed="rId17"/>
                    <a:stretch>
                      <a:fillRect/>
                    </a:stretch>
                  </pic:blipFill>
                  <pic:spPr>
                    <a:xfrm>
                      <a:off x="0" y="0"/>
                      <a:ext cx="3780155" cy="1168400"/>
                    </a:xfrm>
                    <a:prstGeom prst="rect">
                      <a:avLst/>
                    </a:prstGeom>
                  </pic:spPr>
                </pic:pic>
              </a:graphicData>
            </a:graphic>
          </wp:inline>
        </w:drawing>
      </w:r>
    </w:p>
    <w:p>
      <w:pPr>
        <w:pStyle w:val="84"/>
        <w:numPr>
          <w:ilvl w:val="0"/>
          <w:numId w:val="0"/>
        </w:numPr>
        <w:spacing w:before="156" w:after="156"/>
        <w:jc w:val="center"/>
      </w:pPr>
      <w:r>
        <w:rPr>
          <w:rFonts w:hint="eastAsia"/>
        </w:rPr>
        <w:t>图A</w:t>
      </w:r>
      <w:r>
        <w:t>.2.2 网办区式样</w:t>
      </w:r>
    </w:p>
    <w:p>
      <w:pPr>
        <w:pStyle w:val="80"/>
        <w:spacing w:before="156" w:after="156"/>
      </w:pPr>
      <w:r>
        <w:t>自助服务区式样</w:t>
      </w:r>
    </w:p>
    <w:p>
      <w:pPr>
        <w:pStyle w:val="57"/>
        <w:ind w:left="0" w:leftChars="0" w:firstLine="0" w:firstLineChars="0"/>
        <w:jc w:val="center"/>
        <w:rPr>
          <w:rFonts w:hint="default"/>
          <w:lang w:val="en"/>
        </w:rPr>
      </w:pPr>
      <w:r>
        <w:rPr>
          <w:rFonts w:hint="default"/>
          <w:lang w:val="en"/>
        </w:rPr>
        <w:drawing>
          <wp:inline distT="0" distB="0" distL="114300" distR="114300">
            <wp:extent cx="3780155" cy="1160145"/>
            <wp:effectExtent l="0" t="0" r="10795" b="1905"/>
            <wp:docPr id="9" name="图片 9" descr="4.社会保险业务自助服务区"/>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4.社会保险业务自助服务区"/>
                    <pic:cNvPicPr>
                      <a:picLocks noChangeAspect="true"/>
                    </pic:cNvPicPr>
                  </pic:nvPicPr>
                  <pic:blipFill>
                    <a:blip r:embed="rId18"/>
                    <a:stretch>
                      <a:fillRect/>
                    </a:stretch>
                  </pic:blipFill>
                  <pic:spPr>
                    <a:xfrm>
                      <a:off x="0" y="0"/>
                      <a:ext cx="3780155" cy="1160145"/>
                    </a:xfrm>
                    <a:prstGeom prst="rect">
                      <a:avLst/>
                    </a:prstGeom>
                  </pic:spPr>
                </pic:pic>
              </a:graphicData>
            </a:graphic>
          </wp:inline>
        </w:drawing>
      </w:r>
    </w:p>
    <w:p>
      <w:pPr>
        <w:pStyle w:val="84"/>
        <w:numPr>
          <w:ilvl w:val="0"/>
          <w:numId w:val="0"/>
        </w:numPr>
        <w:spacing w:before="156" w:after="156"/>
      </w:pPr>
      <w:r>
        <w:rPr>
          <w:rFonts w:hint="eastAsia"/>
        </w:rPr>
        <w:t>图A</w:t>
      </w:r>
      <w:r>
        <w:t>.2.3 自助服务区式样</w:t>
      </w:r>
    </w:p>
    <w:p>
      <w:pPr>
        <w:pStyle w:val="79"/>
        <w:spacing w:before="156" w:after="156"/>
      </w:pPr>
      <w:r>
        <w:t>门牌式样</w:t>
      </w:r>
    </w:p>
    <w:p>
      <w:pPr>
        <w:pStyle w:val="57"/>
        <w:ind w:firstLine="420"/>
      </w:pPr>
      <w:r>
        <w:rPr>
          <w:rFonts w:hint="eastAsia"/>
        </w:rPr>
        <w:t>用于合作机构门口醒目位置悬挂，方便群众识别。“中国社会保险”标志应符合LD/T91-2013《社会保险视觉识别系统》的要求，门牌标识使用材质宜为不锈钢，实际规格尺寸可根据情况设置。具体见图A.3。</w:t>
      </w:r>
    </w:p>
    <w:p>
      <w:pPr>
        <w:pStyle w:val="57"/>
        <w:ind w:left="0" w:leftChars="0" w:firstLine="0" w:firstLineChars="0"/>
        <w:jc w:val="center"/>
        <w:rPr>
          <w:rFonts w:hint="default"/>
          <w:lang w:val="en"/>
        </w:rPr>
      </w:pPr>
      <w:r>
        <w:rPr>
          <w:rFonts w:hint="default"/>
          <w:lang w:val="en"/>
        </w:rPr>
        <w:drawing>
          <wp:inline distT="0" distB="0" distL="114300" distR="114300">
            <wp:extent cx="3780155" cy="2614930"/>
            <wp:effectExtent l="0" t="0" r="10795" b="13970"/>
            <wp:docPr id="11" name="图片 11" descr="5.社会保险业务服务点"/>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11" descr="5.社会保险业务服务点"/>
                    <pic:cNvPicPr>
                      <a:picLocks noChangeAspect="true"/>
                    </pic:cNvPicPr>
                  </pic:nvPicPr>
                  <pic:blipFill>
                    <a:blip r:embed="rId19"/>
                    <a:stretch>
                      <a:fillRect/>
                    </a:stretch>
                  </pic:blipFill>
                  <pic:spPr>
                    <a:xfrm>
                      <a:off x="0" y="0"/>
                      <a:ext cx="3780155" cy="2614930"/>
                    </a:xfrm>
                    <a:prstGeom prst="rect">
                      <a:avLst/>
                    </a:prstGeom>
                  </pic:spPr>
                </pic:pic>
              </a:graphicData>
            </a:graphic>
          </wp:inline>
        </w:drawing>
      </w:r>
    </w:p>
    <w:p>
      <w:pPr>
        <w:pStyle w:val="84"/>
        <w:numPr>
          <w:ilvl w:val="0"/>
          <w:numId w:val="0"/>
        </w:numPr>
        <w:spacing w:before="156" w:after="156"/>
      </w:pPr>
      <w:r>
        <w:rPr>
          <w:rFonts w:hint="eastAsia"/>
        </w:rPr>
        <w:t>图A</w:t>
      </w:r>
      <w:r>
        <w:t>.3 门牌式样</w:t>
      </w: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77"/>
        <w:spacing w:after="156"/>
      </w:pPr>
      <w:bookmarkStart w:id="60" w:name="_Toc1476227847"/>
      <w:r>
        <w:br w:type="textWrapping"/>
      </w:r>
      <w:r>
        <w:rPr>
          <w:rFonts w:hint="eastAsia"/>
        </w:rPr>
        <w:t>（规范性）</w:t>
      </w:r>
      <w:r>
        <w:br w:type="textWrapping"/>
      </w:r>
      <w:r>
        <w:rPr>
          <w:rFonts w:hint="eastAsia"/>
        </w:rPr>
        <w:t>合作流程图</w:t>
      </w:r>
      <w:bookmarkEnd w:id="60"/>
    </w:p>
    <w:p>
      <w:pPr>
        <w:pStyle w:val="57"/>
        <w:ind w:firstLine="420"/>
      </w:pPr>
      <w:r>
        <w:rPr>
          <w:rFonts w:ascii="Times New Roman"/>
        </w:rPr>
        <w:drawing>
          <wp:inline distT="0" distB="0" distL="0" distR="0">
            <wp:extent cx="5099050" cy="7160260"/>
            <wp:effectExtent l="0" t="0" r="6350" b="2540"/>
            <wp:docPr id="313820657"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3820657" name="图片 1"/>
                    <pic:cNvPicPr>
                      <a:picLocks noChangeAspect="true" noChangeArrowheads="true"/>
                    </pic:cNvPicPr>
                  </pic:nvPicPr>
                  <pic:blipFill>
                    <a:blip r:embed="rId20">
                      <a:extLst>
                        <a:ext uri="{28A0092B-C50C-407E-A947-70E740481C1C}">
                          <a14:useLocalDpi xmlns:a14="http://schemas.microsoft.com/office/drawing/2010/main" val="false"/>
                        </a:ext>
                      </a:extLst>
                    </a:blip>
                    <a:srcRect/>
                    <a:stretch>
                      <a:fillRect/>
                    </a:stretch>
                  </pic:blipFill>
                  <pic:spPr>
                    <a:xfrm>
                      <a:off x="0" y="0"/>
                      <a:ext cx="5099050" cy="7160260"/>
                    </a:xfrm>
                    <a:prstGeom prst="rect">
                      <a:avLst/>
                    </a:prstGeom>
                    <a:noFill/>
                    <a:ln>
                      <a:noFill/>
                    </a:ln>
                    <a:effectLst/>
                  </pic:spPr>
                </pic:pic>
              </a:graphicData>
            </a:graphic>
          </wp:inline>
        </w:drawing>
      </w:r>
    </w:p>
    <w:bookmarkEnd w:id="58"/>
    <w:p>
      <w:pPr>
        <w:pStyle w:val="57"/>
        <w:ind w:firstLine="0" w:firstLineChars="0"/>
        <w:sectPr>
          <w:pgSz w:w="11906" w:h="16838"/>
          <w:pgMar w:top="1928" w:right="1134" w:bottom="1134" w:left="1134" w:header="1418" w:footer="1134" w:gutter="284"/>
          <w:cols w:space="425" w:num="1"/>
          <w:formProt w:val="0"/>
          <w:docGrid w:type="lines" w:linePitch="312" w:charSpace="0"/>
        </w:sectPr>
      </w:pPr>
      <w:bookmarkStart w:id="61" w:name="BookMark6"/>
    </w:p>
    <w:p>
      <w:pPr>
        <w:pStyle w:val="64"/>
        <w:spacing w:after="156"/>
      </w:pPr>
      <w:bookmarkStart w:id="62" w:name="_Toc774277455"/>
      <w:r>
        <w:rPr>
          <w:rFonts w:hint="eastAsia"/>
          <w:spacing w:val="105"/>
        </w:rPr>
        <w:t>参考文</w:t>
      </w:r>
      <w:r>
        <w:rPr>
          <w:rFonts w:hint="eastAsia"/>
        </w:rPr>
        <w:t>献</w:t>
      </w:r>
      <w:bookmarkEnd w:id="62"/>
    </w:p>
    <w:p>
      <w:pPr>
        <w:pStyle w:val="57"/>
        <w:ind w:firstLine="409" w:firstLineChars="195"/>
      </w:pPr>
      <w:r>
        <w:rPr>
          <w:rFonts w:hint="eastAsia"/>
        </w:rPr>
        <w:t>[1] 国发〔2014〕29号  国务院关于加快发展现代保险服务业的若干意见</w:t>
      </w:r>
    </w:p>
    <w:p>
      <w:pPr>
        <w:pStyle w:val="57"/>
        <w:ind w:firstLine="420"/>
      </w:pPr>
      <w:r>
        <w:rPr>
          <w:rFonts w:hint="eastAsia"/>
        </w:rPr>
        <w:t>[2]</w:t>
      </w:r>
      <w:r>
        <w:rPr>
          <w:rFonts w:hint="default"/>
          <w:lang w:val="en"/>
        </w:rPr>
        <w:t xml:space="preserve"> </w:t>
      </w:r>
      <w:r>
        <w:rPr>
          <w:rFonts w:hint="eastAsia"/>
        </w:rPr>
        <w:t xml:space="preserve">人社厅发〔2021〕19号  人力资源杜会保障部办公厅关于借助银行、基层平台等力量推进人社服务“就近办”的意见 </w:t>
      </w:r>
    </w:p>
    <w:p>
      <w:pPr>
        <w:pStyle w:val="57"/>
        <w:ind w:firstLine="420"/>
      </w:pPr>
      <w:r>
        <w:rPr>
          <w:rFonts w:hint="eastAsia"/>
        </w:rPr>
        <w:t>[3]</w:t>
      </w:r>
      <w:r>
        <w:rPr>
          <w:rFonts w:hint="default"/>
          <w:lang w:val="en"/>
        </w:rPr>
        <w:t xml:space="preserve"> </w:t>
      </w:r>
      <w:r>
        <w:rPr>
          <w:rFonts w:hint="eastAsia"/>
        </w:rPr>
        <w:t>人社厅发〔2021〕95号  人力资源杜会保障部办公厅关于推进社会保险经办数字化转型的指导意见</w:t>
      </w:r>
    </w:p>
    <w:p>
      <w:pPr>
        <w:pStyle w:val="57"/>
        <w:ind w:firstLine="420"/>
      </w:pPr>
      <w:r>
        <w:rPr>
          <w:rFonts w:hint="eastAsia"/>
        </w:rPr>
        <w:t>[4]</w:t>
      </w:r>
      <w:r>
        <w:rPr>
          <w:rFonts w:hint="default"/>
          <w:lang w:val="en"/>
        </w:rPr>
        <w:t xml:space="preserve"> </w:t>
      </w:r>
      <w:r>
        <w:rPr>
          <w:rFonts w:hint="eastAsia"/>
        </w:rPr>
        <w:t>人社厅发〔2022〕59号  人力资源社会保障部办公厅关于推进社会保险经办管理服务标准化规范化便利化的意见</w:t>
      </w:r>
    </w:p>
    <w:p>
      <w:pPr>
        <w:pStyle w:val="57"/>
        <w:ind w:firstLine="420"/>
      </w:pPr>
    </w:p>
    <w:p>
      <w:pPr>
        <w:pStyle w:val="57"/>
        <w:ind w:firstLine="420"/>
      </w:pPr>
    </w:p>
    <w:bookmarkEnd w:id="61"/>
    <w:p>
      <w:pPr>
        <w:pStyle w:val="57"/>
        <w:ind w:firstLine="0" w:firstLineChars="0"/>
        <w:jc w:val="center"/>
      </w:pPr>
      <w:bookmarkStart w:id="63" w:name="BookMark8"/>
      <w:r>
        <w:rPr>
          <w:rFonts w:hint="eastAsia"/>
        </w:rPr>
        <w:drawing>
          <wp:inline distT="0" distB="0" distL="0" distR="0">
            <wp:extent cx="1485900" cy="317500"/>
            <wp:effectExtent l="0" t="0" r="0" b="6350"/>
            <wp:docPr id="323893109" name="图片 2"/>
            <wp:cNvGraphicFramePr/>
            <a:graphic xmlns:a="http://schemas.openxmlformats.org/drawingml/2006/main">
              <a:graphicData uri="http://schemas.openxmlformats.org/drawingml/2006/picture">
                <pic:pic xmlns:pic="http://schemas.openxmlformats.org/drawingml/2006/picture">
                  <pic:nvPicPr>
                    <pic:cNvPr id="323893109" name="图片 2"/>
                    <pic:cNvPicPr/>
                  </pic:nvPicPr>
                  <pic:blipFill>
                    <a:blip r:embed="rId21">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63"/>
    </w:p>
    <w:sectPr>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华文中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059">
    <w:panose1 w:val="00000000000000000000"/>
    <w:charset w:val="00"/>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Standard Symbols PS">
    <w:panose1 w:val="05050102010706020507"/>
    <w:charset w:val="00"/>
    <w:family w:val="auto"/>
    <w:pitch w:val="default"/>
    <w:sig w:usb0="00000003"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spacing w:after="0"/>
    </w:pPr>
    <w:r>
      <w:fldChar w:fldCharType="begin"/>
    </w:r>
    <w:r>
      <w:instrText xml:space="preserve"> STYLEREF  标准文件_文件编号  \* MERGEFORMAT </w:instrText>
    </w:r>
    <w:r>
      <w:fldChar w:fldCharType="separate"/>
    </w:r>
    <w:r>
      <w:t>GB/T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GB/T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65B5432"/>
    <w:multiLevelType w:val="multilevel"/>
    <w:tmpl w:val="465B5432"/>
    <w:lvl w:ilvl="0" w:tentative="0">
      <w:start w:val="1"/>
      <w:numFmt w:val="upperLetter"/>
      <w:pStyle w:val="16"/>
      <w:suff w:val="nothing"/>
      <w:lvlText w:val="附　录　%1"/>
      <w:lvlJc w:val="left"/>
      <w:pPr>
        <w:tabs>
          <w:tab w:val="left" w:pos="0"/>
        </w:tabs>
        <w:ind w:left="0" w:firstLine="0"/>
      </w:pPr>
      <w:rPr>
        <w:rFonts w:hint="eastAsia" w:ascii="黑体" w:eastAsia="黑体"/>
        <w:b w:val="0"/>
        <w:bCs w:val="0"/>
        <w:i w:val="0"/>
        <w:iCs w:val="0"/>
        <w:spacing w:val="0"/>
        <w:sz w:val="21"/>
        <w:szCs w:val="21"/>
      </w:rPr>
    </w:lvl>
    <w:lvl w:ilvl="1" w:tentative="0">
      <w:start w:val="1"/>
      <w:numFmt w:val="decimal"/>
      <w:suff w:val="nothing"/>
      <w:lvlText w:val="%1.%2　"/>
      <w:lvlJc w:val="left"/>
      <w:pPr>
        <w:tabs>
          <w:tab w:val="left" w:pos="0"/>
        </w:tabs>
        <w:ind w:left="0" w:firstLine="0"/>
      </w:pPr>
      <w:rPr>
        <w:rFonts w:hint="eastAsia" w:ascii="黑体" w:eastAsia="黑体"/>
        <w:b w:val="0"/>
        <w:bCs w:val="0"/>
        <w:i w:val="0"/>
        <w:iCs w:val="0"/>
        <w:spacing w:val="0"/>
        <w:kern w:val="21"/>
        <w:sz w:val="21"/>
        <w:szCs w:val="21"/>
      </w:rPr>
    </w:lvl>
    <w:lvl w:ilvl="2" w:tentative="0">
      <w:start w:val="1"/>
      <w:numFmt w:val="decimal"/>
      <w:suff w:val="nothing"/>
      <w:lvlText w:val="%1.%2.%3　"/>
      <w:lvlJc w:val="left"/>
      <w:pPr>
        <w:tabs>
          <w:tab w:val="left" w:pos="0"/>
        </w:tabs>
        <w:ind w:left="0" w:firstLine="0"/>
      </w:pPr>
      <w:rPr>
        <w:rFonts w:hint="eastAsia" w:ascii="黑体" w:eastAsia="黑体"/>
        <w:b w:val="0"/>
        <w:bCs w:val="0"/>
        <w:i w:val="0"/>
        <w:iCs w:val="0"/>
        <w:sz w:val="21"/>
        <w:szCs w:val="21"/>
      </w:rPr>
    </w:lvl>
    <w:lvl w:ilvl="3" w:tentative="0">
      <w:start w:val="1"/>
      <w:numFmt w:val="decimal"/>
      <w:suff w:val="nothing"/>
      <w:lvlText w:val="%1.%2.%3.%4　"/>
      <w:lvlJc w:val="left"/>
      <w:pPr>
        <w:tabs>
          <w:tab w:val="left" w:pos="0"/>
        </w:tabs>
        <w:ind w:left="0" w:firstLine="0"/>
      </w:pPr>
      <w:rPr>
        <w:rFonts w:hint="eastAsia" w:ascii="黑体" w:eastAsia="黑体"/>
        <w:b w:val="0"/>
        <w:bCs w:val="0"/>
        <w:i w:val="0"/>
        <w:iCs w:val="0"/>
        <w:sz w:val="21"/>
        <w:szCs w:val="21"/>
      </w:rPr>
    </w:lvl>
    <w:lvl w:ilvl="4" w:tentative="0">
      <w:start w:val="1"/>
      <w:numFmt w:val="decimal"/>
      <w:suff w:val="nothing"/>
      <w:lvlText w:val="%1.%2.%3.%4.%5　"/>
      <w:lvlJc w:val="left"/>
      <w:pPr>
        <w:tabs>
          <w:tab w:val="left" w:pos="0"/>
        </w:tabs>
        <w:ind w:left="0" w:firstLine="0"/>
      </w:pPr>
      <w:rPr>
        <w:rFonts w:hint="eastAsia" w:ascii="黑体" w:eastAsia="黑体"/>
        <w:b w:val="0"/>
        <w:bCs w:val="0"/>
        <w:i w:val="0"/>
        <w:iCs w:val="0"/>
        <w:sz w:val="21"/>
        <w:szCs w:val="21"/>
      </w:rPr>
    </w:lvl>
    <w:lvl w:ilvl="5" w:tentative="0">
      <w:start w:val="1"/>
      <w:numFmt w:val="decimal"/>
      <w:suff w:val="nothing"/>
      <w:lvlText w:val="%1.%2.%3.%4.%5.%6　"/>
      <w:lvlJc w:val="left"/>
      <w:pPr>
        <w:tabs>
          <w:tab w:val="left" w:pos="0"/>
        </w:tabs>
        <w:ind w:left="0" w:firstLine="0"/>
      </w:pPr>
      <w:rPr>
        <w:rFonts w:hint="eastAsia" w:ascii="黑体" w:eastAsia="黑体"/>
        <w:b w:val="0"/>
        <w:bCs w:val="0"/>
        <w:i w:val="0"/>
        <w:iCs w:val="0"/>
        <w:sz w:val="21"/>
        <w:szCs w:val="21"/>
      </w:rPr>
    </w:lvl>
    <w:lvl w:ilvl="6" w:tentative="0">
      <w:start w:val="1"/>
      <w:numFmt w:val="decimal"/>
      <w:suff w:val="nothing"/>
      <w:lvlText w:val="%1.%2.%3.%4.%5.%6.%7　"/>
      <w:lvlJc w:val="left"/>
      <w:pPr>
        <w:tabs>
          <w:tab w:val="left" w:pos="0"/>
        </w:tabs>
        <w:ind w:left="0" w:firstLine="0"/>
      </w:pPr>
      <w:rPr>
        <w:rFonts w:hint="eastAsia" w:ascii="黑体" w:eastAsia="黑体"/>
        <w:b w:val="0"/>
        <w:bCs w:val="0"/>
        <w:i w:val="0"/>
        <w:iCs w:val="0"/>
        <w:sz w:val="21"/>
        <w:szCs w:val="21"/>
      </w:rPr>
    </w:lvl>
    <w:lvl w:ilvl="7" w:tentative="0">
      <w:start w:val="1"/>
      <w:numFmt w:val="decimal"/>
      <w:lvlText w:val="%1.%2.%3.%4.%5.%6.%7.%8"/>
      <w:lvlJc w:val="left"/>
      <w:pPr>
        <w:tabs>
          <w:tab w:val="left" w:pos="4394"/>
        </w:tabs>
        <w:ind w:left="4394" w:hanging="1418"/>
      </w:pPr>
      <w:rPr>
        <w:rFonts w:hint="eastAsia" w:ascii="宋体" w:hAnsi="宋体" w:eastAsia="宋体"/>
      </w:rPr>
    </w:lvl>
    <w:lvl w:ilvl="8" w:tentative="0">
      <w:start w:val="1"/>
      <w:numFmt w:val="decimal"/>
      <w:lvlText w:val="%1.%2.%3.%4.%5.%6.%7.%8.%9"/>
      <w:lvlJc w:val="left"/>
      <w:pPr>
        <w:tabs>
          <w:tab w:val="left" w:pos="5102"/>
        </w:tabs>
        <w:ind w:left="5102" w:hanging="1700"/>
      </w:pPr>
      <w:rPr>
        <w:rFonts w:hint="eastAsia" w:ascii="宋体" w:hAnsi="宋体" w:eastAsia="宋体"/>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992"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8"/>
  </w:num>
  <w:num w:numId="4">
    <w:abstractNumId w:val="5"/>
  </w:num>
  <w:num w:numId="5">
    <w:abstractNumId w:val="24"/>
  </w:num>
  <w:num w:numId="6">
    <w:abstractNumId w:val="19"/>
  </w:num>
  <w:num w:numId="7">
    <w:abstractNumId w:val="14"/>
  </w:num>
  <w:num w:numId="8">
    <w:abstractNumId w:val="8"/>
  </w:num>
  <w:num w:numId="9">
    <w:abstractNumId w:val="3"/>
  </w:num>
  <w:num w:numId="10">
    <w:abstractNumId w:val="9"/>
  </w:num>
  <w:num w:numId="11">
    <w:abstractNumId w:val="17"/>
  </w:num>
  <w:num w:numId="12">
    <w:abstractNumId w:val="26"/>
  </w:num>
  <w:num w:numId="13">
    <w:abstractNumId w:val="11"/>
  </w:num>
  <w:num w:numId="14">
    <w:abstractNumId w:val="12"/>
  </w:num>
  <w:num w:numId="15">
    <w:abstractNumId w:val="7"/>
  </w:num>
  <w:num w:numId="16">
    <w:abstractNumId w:val="20"/>
  </w:num>
  <w:num w:numId="17">
    <w:abstractNumId w:val="22"/>
  </w:num>
  <w:num w:numId="18">
    <w:abstractNumId w:val="18"/>
  </w:num>
  <w:num w:numId="19">
    <w:abstractNumId w:val="30"/>
  </w:num>
  <w:num w:numId="20">
    <w:abstractNumId w:val="16"/>
  </w:num>
  <w:num w:numId="21">
    <w:abstractNumId w:val="1"/>
  </w:num>
  <w:num w:numId="22">
    <w:abstractNumId w:val="10"/>
  </w:num>
  <w:num w:numId="23">
    <w:abstractNumId w:val="31"/>
  </w:num>
  <w:num w:numId="24">
    <w:abstractNumId w:val="21"/>
  </w:num>
  <w:num w:numId="25">
    <w:abstractNumId w:val="6"/>
  </w:num>
  <w:num w:numId="26">
    <w:abstractNumId w:val="27"/>
  </w:num>
  <w:num w:numId="27">
    <w:abstractNumId w:val="29"/>
  </w:num>
  <w:num w:numId="28">
    <w:abstractNumId w:val="2"/>
  </w:num>
  <w:num w:numId="29">
    <w:abstractNumId w:val="4"/>
  </w:num>
  <w:num w:numId="30">
    <w:abstractNumId w:val="15"/>
  </w:num>
  <w:num w:numId="31">
    <w:abstractNumId w:val="25"/>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dit="forms" w:enforcement="1" w:cryptProviderType="rsaAES" w:cryptAlgorithmClass="hash" w:cryptAlgorithmType="typeAny" w:cryptAlgorithmSid="14" w:cryptSpinCount="100000" w:hash="TWHidZOvGmBoNhuQMbVqi+FIVEZ5gQlBHMmChlkau/V4683vglceXZ/fU58lFbC9w7unWgLo6r1X44Oo54X8rg==" w:salt="CKeSv9Gs9UqdZQ+ek3BL7A=="/>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M0MzdmODY2YjkzNzY1N2E0NWVmODhmOTgzODAwNmMifQ=="/>
  </w:docVars>
  <w:rsids>
    <w:rsidRoot w:val="00287F8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02D"/>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2109"/>
    <w:rsid w:val="002142EA"/>
    <w:rsid w:val="00217F54"/>
    <w:rsid w:val="002204BB"/>
    <w:rsid w:val="00221B79"/>
    <w:rsid w:val="00221C6B"/>
    <w:rsid w:val="002253A1"/>
    <w:rsid w:val="00225CF8"/>
    <w:rsid w:val="0022794E"/>
    <w:rsid w:val="00233D64"/>
    <w:rsid w:val="0023482A"/>
    <w:rsid w:val="002359CB"/>
    <w:rsid w:val="002375D9"/>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87F84"/>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6C64"/>
    <w:rsid w:val="00337162"/>
    <w:rsid w:val="0034194F"/>
    <w:rsid w:val="00344605"/>
    <w:rsid w:val="003474AA"/>
    <w:rsid w:val="00350D1D"/>
    <w:rsid w:val="00352C83"/>
    <w:rsid w:val="003615D2"/>
    <w:rsid w:val="0036429C"/>
    <w:rsid w:val="00364A53"/>
    <w:rsid w:val="003654CB"/>
    <w:rsid w:val="00365F86"/>
    <w:rsid w:val="00365F87"/>
    <w:rsid w:val="00366E12"/>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461"/>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385F"/>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0E55"/>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95A"/>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1901"/>
    <w:rsid w:val="006D3E96"/>
    <w:rsid w:val="006D4515"/>
    <w:rsid w:val="006D4BB1"/>
    <w:rsid w:val="006D6593"/>
    <w:rsid w:val="006E5DEE"/>
    <w:rsid w:val="006F03A8"/>
    <w:rsid w:val="006F0ED7"/>
    <w:rsid w:val="006F2ACA"/>
    <w:rsid w:val="006F2ADC"/>
    <w:rsid w:val="006F2BFE"/>
    <w:rsid w:val="006F31E9"/>
    <w:rsid w:val="006F6284"/>
    <w:rsid w:val="007002C5"/>
    <w:rsid w:val="00704387"/>
    <w:rsid w:val="00707669"/>
    <w:rsid w:val="00711CBA"/>
    <w:rsid w:val="00711FB5"/>
    <w:rsid w:val="00712A01"/>
    <w:rsid w:val="0071491B"/>
    <w:rsid w:val="00714F58"/>
    <w:rsid w:val="00722FBF"/>
    <w:rsid w:val="00722FC2"/>
    <w:rsid w:val="00725949"/>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77B6D"/>
    <w:rsid w:val="0078114B"/>
    <w:rsid w:val="00781DD2"/>
    <w:rsid w:val="00783ECF"/>
    <w:rsid w:val="0078413A"/>
    <w:rsid w:val="00790CA3"/>
    <w:rsid w:val="00790E01"/>
    <w:rsid w:val="007959E8"/>
    <w:rsid w:val="00795E9C"/>
    <w:rsid w:val="007A0521"/>
    <w:rsid w:val="007A061E"/>
    <w:rsid w:val="007A2E12"/>
    <w:rsid w:val="007A3475"/>
    <w:rsid w:val="007A41C8"/>
    <w:rsid w:val="007A54CE"/>
    <w:rsid w:val="007A6118"/>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377FC"/>
    <w:rsid w:val="00840617"/>
    <w:rsid w:val="00842A47"/>
    <w:rsid w:val="00843C13"/>
    <w:rsid w:val="008454F8"/>
    <w:rsid w:val="00851342"/>
    <w:rsid w:val="0085173A"/>
    <w:rsid w:val="00854DF9"/>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0ADA"/>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D7C9A"/>
    <w:rsid w:val="009E0F62"/>
    <w:rsid w:val="009E4A58"/>
    <w:rsid w:val="009E5A2D"/>
    <w:rsid w:val="009E5AB2"/>
    <w:rsid w:val="009E6219"/>
    <w:rsid w:val="009F03B3"/>
    <w:rsid w:val="009F240C"/>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5595"/>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536B"/>
    <w:rsid w:val="00B4654C"/>
    <w:rsid w:val="00B47293"/>
    <w:rsid w:val="00B510A4"/>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1172"/>
    <w:rsid w:val="00BE22F3"/>
    <w:rsid w:val="00BE49EE"/>
    <w:rsid w:val="00BE5B52"/>
    <w:rsid w:val="00BE7651"/>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17E7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482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128C"/>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0823"/>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202EF"/>
    <w:rsid w:val="00E20878"/>
    <w:rsid w:val="00E210B5"/>
    <w:rsid w:val="00E2552F"/>
    <w:rsid w:val="00E3137A"/>
    <w:rsid w:val="00E32CCF"/>
    <w:rsid w:val="00E34A98"/>
    <w:rsid w:val="00E35D1E"/>
    <w:rsid w:val="00E364F9"/>
    <w:rsid w:val="00E365FA"/>
    <w:rsid w:val="00E40C94"/>
    <w:rsid w:val="00E43C00"/>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679"/>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5C0E"/>
    <w:rsid w:val="00F06D37"/>
    <w:rsid w:val="00F07B9D"/>
    <w:rsid w:val="00F11586"/>
    <w:rsid w:val="00F1183B"/>
    <w:rsid w:val="00F11C9F"/>
    <w:rsid w:val="00F12263"/>
    <w:rsid w:val="00F1409D"/>
    <w:rsid w:val="00F14214"/>
    <w:rsid w:val="00F146BD"/>
    <w:rsid w:val="00F157A9"/>
    <w:rsid w:val="00F25BB6"/>
    <w:rsid w:val="00F26B7E"/>
    <w:rsid w:val="00F27A3B"/>
    <w:rsid w:val="00F33148"/>
    <w:rsid w:val="00F33817"/>
    <w:rsid w:val="00F420D5"/>
    <w:rsid w:val="00F451EA"/>
    <w:rsid w:val="00F45447"/>
    <w:rsid w:val="00F456C6"/>
    <w:rsid w:val="00F4577B"/>
    <w:rsid w:val="00F45D6F"/>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12C8"/>
    <w:rsid w:val="00FA4AEE"/>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 w:val="2C7B53FF"/>
    <w:rsid w:val="47414C93"/>
    <w:rsid w:val="55EF7A3E"/>
    <w:rsid w:val="742F1C52"/>
    <w:rsid w:val="7B4E95F2"/>
    <w:rsid w:val="7FFC7197"/>
    <w:rsid w:val="97FFC8F9"/>
    <w:rsid w:val="FD39335B"/>
    <w:rsid w:val="FF72E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qFormat="1"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spacing w:before="280" w:after="290" w:line="376" w:lineRule="auto"/>
      <w:outlineLvl w:val="4"/>
    </w:pPr>
    <w:rPr>
      <w:b/>
      <w:bCs/>
      <w:sz w:val="28"/>
      <w:szCs w:val="28"/>
    </w:rPr>
  </w:style>
  <w:style w:type="paragraph" w:styleId="7">
    <w:name w:val="heading 6"/>
    <w:basedOn w:val="1"/>
    <w:next w:val="1"/>
    <w:link w:val="40"/>
    <w:qFormat/>
    <w:uiPriority w:val="0"/>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spacing w:before="240" w:after="64" w:line="320" w:lineRule="auto"/>
      <w:outlineLvl w:val="6"/>
    </w:pPr>
    <w:rPr>
      <w:b/>
      <w:bCs/>
      <w:sz w:val="24"/>
      <w:szCs w:val="24"/>
    </w:rPr>
  </w:style>
  <w:style w:type="paragraph" w:styleId="9">
    <w:name w:val="heading 8"/>
    <w:basedOn w:val="1"/>
    <w:next w:val="1"/>
    <w:link w:val="42"/>
    <w:qFormat/>
    <w:uiPriority w:val="0"/>
    <w:pPr>
      <w:keepNext/>
      <w:keepLines/>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List Number 4"/>
    <w:basedOn w:val="1"/>
    <w:semiHidden/>
    <w:unhideWhenUsed/>
    <w:qFormat/>
    <w:uiPriority w:val="99"/>
    <w:pPr>
      <w:numPr>
        <w:ilvl w:val="0"/>
        <w:numId w:val="1"/>
      </w:numPr>
      <w:contextualSpacing/>
    </w:p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snapToGrid w:val="0"/>
      <w:jc w:val="right"/>
    </w:pPr>
    <w:rPr>
      <w:rFonts w:ascii="宋体"/>
      <w:sz w:val="18"/>
      <w:szCs w:val="18"/>
    </w:rPr>
  </w:style>
  <w:style w:type="paragraph" w:styleId="19">
    <w:name w:val="header"/>
    <w:basedOn w:val="1"/>
    <w:link w:val="44"/>
    <w:qFormat/>
    <w:uiPriority w:val="99"/>
    <w:pPr>
      <w:tabs>
        <w:tab w:val="center" w:pos="4153"/>
        <w:tab w:val="right" w:pos="8306"/>
      </w:tabs>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shd w:val="clear" w:color="FFFFFF" w:fill="FFFFFF"/>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shd w:val="clear" w:color="FFFFFF" w:fill="FFFFFF"/>
      <w:spacing w:before="580" w:after="50" w:afterLines="50"/>
      <w:jc w:val="center"/>
      <w:outlineLvl w:val="0"/>
    </w:pPr>
    <w:rPr>
      <w:rFonts w:ascii="黑体" w:eastAsia="黑体"/>
      <w:kern w:val="0"/>
    </w:rPr>
  </w:style>
  <w:style w:type="paragraph" w:customStyle="1" w:styleId="65">
    <w:name w:val="标准文件_参考文献条目"/>
    <w:qFormat/>
    <w:uiPriority w:val="0"/>
    <w:pPr>
      <w:numPr>
        <w:ilvl w:val="0"/>
        <w:numId w:val="2"/>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3"/>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4"/>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jc w:val="center"/>
    </w:pPr>
    <w:rPr>
      <w:rFonts w:ascii="黑体" w:eastAsia="黑体"/>
      <w:kern w:val="0"/>
      <w:sz w:val="52"/>
    </w:rPr>
  </w:style>
  <w:style w:type="paragraph" w:customStyle="1" w:styleId="72">
    <w:name w:val="标准文件_封面标准英文名称"/>
    <w:basedOn w:val="1"/>
    <w:qFormat/>
    <w:uiPriority w:val="0"/>
    <w:pPr>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5"/>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6"/>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5"/>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5"/>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5"/>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7"/>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5"/>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8"/>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9"/>
      </w:numPr>
      <w:shd w:val="clear" w:color="FFFFFF" w:fill="FFFFFF"/>
      <w:spacing w:before="480"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before="480" w:after="150" w:afterLines="150"/>
      <w:jc w:val="center"/>
    </w:pPr>
    <w:rPr>
      <w:rFonts w:ascii="黑体" w:eastAsia="黑体"/>
      <w:sz w:val="32"/>
    </w:rPr>
  </w:style>
  <w:style w:type="paragraph" w:customStyle="1" w:styleId="93">
    <w:name w:val="标准文件_破折号列项"/>
    <w:qFormat/>
    <w:uiPriority w:val="0"/>
    <w:pPr>
      <w:numPr>
        <w:ilvl w:val="0"/>
        <w:numId w:val="10"/>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1"/>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ind w:firstLine="200" w:firstLineChars="200"/>
    </w:pPr>
    <w:rPr>
      <w:sz w:val="18"/>
      <w:szCs w:val="24"/>
    </w:rPr>
  </w:style>
  <w:style w:type="paragraph" w:customStyle="1" w:styleId="98">
    <w:name w:val="标准文件_数字编号列项"/>
    <w:qFormat/>
    <w:uiPriority w:val="0"/>
    <w:pPr>
      <w:numPr>
        <w:ilvl w:val="0"/>
        <w:numId w:val="12"/>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3"/>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3"/>
      </w:numPr>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3"/>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3"/>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snapToGrid/>
      <w:ind w:left="79" w:hanging="79" w:hangingChars="80"/>
    </w:pPr>
    <w:rPr>
      <w:rFonts w:ascii="宋体" w:hAnsi="宋体"/>
    </w:rPr>
  </w:style>
  <w:style w:type="paragraph" w:customStyle="1" w:styleId="110">
    <w:name w:val="标准文件_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5"/>
      </w:numPr>
      <w:tabs>
        <w:tab w:val="left" w:pos="420"/>
      </w:tabs>
      <w:autoSpaceDE w:val="0"/>
      <w:autoSpaceDN w:val="0"/>
    </w:pPr>
    <w:rPr>
      <w:rFonts w:ascii="宋体" w:hAnsi="宋体"/>
      <w:kern w:val="0"/>
      <w:sz w:val="18"/>
      <w:szCs w:val="20"/>
    </w:rPr>
  </w:style>
  <w:style w:type="paragraph" w:customStyle="1" w:styleId="112">
    <w:name w:val="标准文件_英文注×："/>
    <w:basedOn w:val="1"/>
    <w:qFormat/>
    <w:uiPriority w:val="0"/>
    <w:pPr>
      <w:numPr>
        <w:ilvl w:val="0"/>
        <w:numId w:val="16"/>
      </w:numPr>
      <w:tabs>
        <w:tab w:val="left" w:pos="210"/>
      </w:tabs>
      <w:autoSpaceDE w:val="0"/>
      <w:autoSpaceDN w:val="0"/>
    </w:pPr>
    <w:rPr>
      <w:rFonts w:ascii="宋体" w:hAnsi="宋体"/>
      <w:kern w:val="0"/>
      <w:szCs w:val="20"/>
    </w:rPr>
  </w:style>
  <w:style w:type="paragraph" w:customStyle="1" w:styleId="113">
    <w:name w:val="标准文件_正文表标题"/>
    <w:next w:val="57"/>
    <w:qFormat/>
    <w:uiPriority w:val="0"/>
    <w:pPr>
      <w:numPr>
        <w:ilvl w:val="0"/>
        <w:numId w:val="17"/>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pPr>
    <w:rPr>
      <w:rFonts w:ascii="宋体" w:hAnsi="宋体"/>
    </w:rPr>
  </w:style>
  <w:style w:type="paragraph" w:customStyle="1" w:styleId="115">
    <w:name w:val="标准文件_正文图标题"/>
    <w:next w:val="57"/>
    <w:qFormat/>
    <w:uiPriority w:val="0"/>
    <w:pPr>
      <w:numPr>
        <w:ilvl w:val="0"/>
        <w:numId w:val="18"/>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20"/>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1"/>
      </w:numPr>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ordWrap w:val="0"/>
      <w:overflowPunct w:val="0"/>
      <w:autoSpaceDE w:val="0"/>
      <w:autoSpaceDN w:val="0"/>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2"/>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3"/>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jc w:val="left"/>
    </w:pPr>
    <w:rPr>
      <w:bCs/>
      <w:iCs/>
    </w:rPr>
  </w:style>
  <w:style w:type="paragraph" w:customStyle="1" w:styleId="144">
    <w:name w:val="目录 31"/>
    <w:basedOn w:val="1"/>
    <w:next w:val="1"/>
    <w:semiHidden/>
    <w:qFormat/>
    <w:uiPriority w:val="0"/>
    <w:rPr>
      <w:rFonts w:ascii="宋体" w:hAnsi="宋体"/>
      <w:iCs/>
    </w:rPr>
  </w:style>
  <w:style w:type="paragraph" w:customStyle="1" w:styleId="145">
    <w:name w:val="目录 41"/>
    <w:basedOn w:val="1"/>
    <w:next w:val="1"/>
    <w:semiHidden/>
    <w:qFormat/>
    <w:uiPriority w:val="0"/>
    <w:pPr>
      <w:jc w:val="left"/>
    </w:pPr>
  </w:style>
  <w:style w:type="paragraph" w:customStyle="1" w:styleId="146">
    <w:name w:val="目录 51"/>
    <w:basedOn w:val="1"/>
    <w:next w:val="1"/>
    <w:semiHidden/>
    <w:qFormat/>
    <w:uiPriority w:val="0"/>
    <w:rPr>
      <w:rFonts w:ascii="宋体" w:hAnsi="宋体"/>
    </w:rPr>
  </w:style>
  <w:style w:type="paragraph" w:customStyle="1" w:styleId="147">
    <w:name w:val="目录 61"/>
    <w:basedOn w:val="1"/>
    <w:next w:val="1"/>
    <w:semiHidden/>
    <w:qFormat/>
    <w:uiPriority w:val="0"/>
    <w:pPr>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3"/>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1"/>
      </w:numPr>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1"/>
      </w:numPr>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1"/>
      </w:numPr>
    </w:pPr>
    <w:rPr>
      <w:szCs w:val="24"/>
    </w:rPr>
  </w:style>
  <w:style w:type="paragraph" w:customStyle="1" w:styleId="160">
    <w:name w:val="一级无标题条"/>
    <w:basedOn w:val="1"/>
    <w:qFormat/>
    <w:uiPriority w:val="0"/>
    <w:pPr>
      <w:numPr>
        <w:ilvl w:val="2"/>
        <w:numId w:val="21"/>
      </w:numPr>
      <w:spacing w:before="10" w:after="10"/>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4"/>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5"/>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2"/>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6"/>
      </w:numPr>
      <w:ind w:left="783"/>
    </w:pPr>
    <w:rPr>
      <w:rFonts w:ascii="宋体" w:hAnsi="Times New Roman"/>
      <w:sz w:val="18"/>
      <w:szCs w:val="18"/>
    </w:rPr>
  </w:style>
  <w:style w:type="paragraph" w:customStyle="1" w:styleId="175">
    <w:name w:val="标准文件_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8"/>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9"/>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numPr>
        <w:ilvl w:val="0"/>
        <w:numId w:val="30"/>
      </w:numPr>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2"/>
      </w:numPr>
      <w:ind w:left="1271" w:hanging="420" w:firstLineChars="0"/>
    </w:pPr>
  </w:style>
  <w:style w:type="paragraph" w:customStyle="1" w:styleId="189">
    <w:name w:val="标准文件_三级项2"/>
    <w:basedOn w:val="57"/>
    <w:qFormat/>
    <w:uiPriority w:val="0"/>
    <w:pPr>
      <w:numPr>
        <w:ilvl w:val="0"/>
        <w:numId w:val="31"/>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2"/>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7"/>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6"/>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9"/>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9"/>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9"/>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9"/>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9"/>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30">
    <w:name w:val="无间隔1"/>
    <w:basedOn w:val="1"/>
    <w:qFormat/>
    <w:uiPriority w:val="0"/>
    <w:pPr>
      <w:widowControl w:val="0"/>
    </w:pPr>
    <w:rPr>
      <w:rFonts w:cs="宋体"/>
    </w:rPr>
  </w:style>
  <w:style w:type="paragraph" w:customStyle="1" w:styleId="231">
    <w:name w:val="段"/>
    <w:basedOn w:val="1"/>
    <w:next w:val="16"/>
    <w:qFormat/>
    <w:uiPriority w:val="0"/>
    <w:pPr>
      <w:autoSpaceDE w:val="0"/>
      <w:autoSpaceDN w:val="0"/>
      <w:ind w:firstLine="200" w:firstLineChars="200"/>
    </w:pPr>
    <w:rPr>
      <w:rFonts w:ascii="宋体"/>
      <w:kern w:val="0"/>
    </w:rPr>
  </w:style>
  <w:style w:type="paragraph" w:customStyle="1" w:styleId="232">
    <w:name w:val="一级条标题"/>
    <w:basedOn w:val="1"/>
    <w:next w:val="231"/>
    <w:qFormat/>
    <w:uiPriority w:val="0"/>
    <w:pPr>
      <w:spacing w:beforeLines="50" w:afterLines="50"/>
      <w:jc w:val="left"/>
      <w:outlineLvl w:val="2"/>
    </w:pPr>
    <w:rPr>
      <w:rFonts w:ascii="黑体" w:eastAsia="黑体"/>
      <w:kern w:val="0"/>
    </w:rPr>
  </w:style>
  <w:style w:type="paragraph" w:customStyle="1" w:styleId="233">
    <w:name w:val="章标题"/>
    <w:basedOn w:val="1"/>
    <w:next w:val="231"/>
    <w:qFormat/>
    <w:uiPriority w:val="0"/>
    <w:pPr>
      <w:spacing w:beforeLines="100" w:afterLines="100"/>
      <w:outlineLvl w:val="1"/>
    </w:pPr>
    <w:rPr>
      <w:rFonts w:ascii="黑体" w:eastAsia="黑体"/>
      <w:kern w:val="0"/>
    </w:rPr>
  </w:style>
  <w:style w:type="paragraph" w:customStyle="1" w:styleId="234">
    <w:name w:val="附录标识"/>
    <w:basedOn w:val="1"/>
    <w:next w:val="231"/>
    <w:qFormat/>
    <w:uiPriority w:val="0"/>
    <w:pPr>
      <w:keepNext/>
      <w:shd w:val="clear" w:color="auto" w:fill="FFFFFF"/>
      <w:spacing w:before="640" w:after="280"/>
      <w:jc w:val="center"/>
      <w:outlineLvl w:val="0"/>
    </w:pPr>
    <w:rPr>
      <w:rFonts w:ascii="黑体" w:eastAsia="黑体"/>
      <w:kern w:val="0"/>
    </w:rPr>
  </w:style>
  <w:style w:type="paragraph" w:customStyle="1" w:styleId="235">
    <w:name w:val="参考文献"/>
    <w:basedOn w:val="1"/>
    <w:next w:val="231"/>
    <w:qFormat/>
    <w:uiPriority w:val="0"/>
    <w:pPr>
      <w:keepNext/>
      <w:pageBreakBefore/>
      <w:shd w:val="clear" w:color="FFFFFF" w:fill="FFFFFF"/>
      <w:spacing w:before="640" w:after="200"/>
      <w:jc w:val="center"/>
      <w:outlineLvl w:val="0"/>
    </w:pPr>
    <w:rPr>
      <w:rFonts w:ascii="黑体" w:eastAsia="黑体"/>
      <w:kern w:val="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8.jpeg"/><Relationship Id="rId20" Type="http://schemas.openxmlformats.org/officeDocument/2006/relationships/image" Target="media/image7.png"/><Relationship Id="rId2" Type="http://schemas.openxmlformats.org/officeDocument/2006/relationships/settings" Target="settings.xml"/><Relationship Id="rId19" Type="http://schemas.openxmlformats.org/officeDocument/2006/relationships/image" Target="media/image6.jpeg"/><Relationship Id="rId18" Type="http://schemas.openxmlformats.org/officeDocument/2006/relationships/image" Target="media/image5.jpeg"/><Relationship Id="rId17" Type="http://schemas.openxmlformats.org/officeDocument/2006/relationships/image" Target="media/image4.jpeg"/><Relationship Id="rId16" Type="http://schemas.openxmlformats.org/officeDocument/2006/relationships/image" Target="media/image3.jpeg"/><Relationship Id="rId15" Type="http://schemas.openxmlformats.org/officeDocument/2006/relationships/image" Target="media/image2.jpeg"/><Relationship Id="rId14" Type="http://schemas.openxmlformats.org/officeDocument/2006/relationships/image" Target="media/image1.tiff"/><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C:\home\admin\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38DE8C78EE64C34A594C227BFED8374"/>
        <w:style w:val=""/>
        <w:category>
          <w:name w:val="常规"/>
          <w:gallery w:val="placeholder"/>
        </w:category>
        <w:types>
          <w:type w:val="bbPlcHdr"/>
        </w:types>
        <w:behaviors>
          <w:behavior w:val="content"/>
        </w:behaviors>
        <w:description w:val=""/>
        <w:guid w:val="{32002C48-8BBA-4730-AFA0-CAFBECBE4817}"/>
      </w:docPartPr>
      <w:docPartBody>
        <w:p>
          <w:pPr>
            <w:pStyle w:val="5"/>
          </w:pPr>
          <w:r>
            <w:rPr>
              <w:rStyle w:val="4"/>
              <w:rFonts w:hint="eastAsia"/>
            </w:rPr>
            <w:t>单击或点击此处输入文字。</w:t>
          </w:r>
        </w:p>
      </w:docPartBody>
    </w:docPart>
    <w:docPart>
      <w:docPartPr>
        <w:name w:val="911619B107BD4D3EBC8FEF7BE276C625"/>
        <w:style w:val=""/>
        <w:category>
          <w:name w:val="常规"/>
          <w:gallery w:val="placeholder"/>
        </w:category>
        <w:types>
          <w:type w:val="bbPlcHdr"/>
        </w:types>
        <w:behaviors>
          <w:behavior w:val="content"/>
        </w:behaviors>
        <w:description w:val=""/>
        <w:guid w:val="{9C79FAA7-14D2-4042-B74D-8EECE7CF2899}"/>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F7F"/>
    <w:rsid w:val="00016A52"/>
    <w:rsid w:val="000D145A"/>
    <w:rsid w:val="00324F7F"/>
    <w:rsid w:val="005B2A8E"/>
    <w:rsid w:val="00791FF9"/>
    <w:rsid w:val="00A0102B"/>
    <w:rsid w:val="00E65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38DE8C78EE64C34A594C227BFED8374"/>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911619B107BD4D3EBC8FEF7BE276C625"/>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国家标准.dotx</Template>
  <Company>PCMI</Company>
  <Pages>12</Pages>
  <Words>4356</Words>
  <Characters>4723</Characters>
  <Lines>45</Lines>
  <Paragraphs>12</Paragraphs>
  <TotalTime>27</TotalTime>
  <ScaleCrop>false</ScaleCrop>
  <LinksUpToDate>false</LinksUpToDate>
  <CharactersWithSpaces>4857</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2023-07-21T00:55:00Z</dcterms:created>
  <dc:creator>Administrator</dc:creator>
  <dc:description>&lt;config cover="true" show_menu="true" version="1.0.0" doctype="SDKXY"&gt;_x000d_
&lt;/config&gt;</dc:description>
  <cp:lastModifiedBy>admin</cp:lastModifiedBy>
  <cp:lastPrinted>2021-02-03T23:44:00Z</cp:lastPrinted>
  <dcterms:modified xsi:type="dcterms:W3CDTF">2023-08-21T09:31:45Z</dcterms:modified>
  <dc:title>国家标准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2052-11.8.2.10534</vt:lpwstr>
  </property>
  <property fmtid="{D5CDD505-2E9C-101B-9397-08002B2CF9AE}" pid="15" name="ICV">
    <vt:lpwstr>9AE27AA5AFAC41189069EBE4896D7FDD_13</vt:lpwstr>
  </property>
</Properties>
</file>