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Times New Roman" w:hAnsi="Times New Roman" w:eastAsia="华文中宋" w:cs="Times New Roman"/>
          <w:sz w:val="44"/>
          <w:szCs w:val="44"/>
        </w:rPr>
      </w:pPr>
    </w:p>
    <w:p>
      <w:pPr>
        <w:spacing w:line="600" w:lineRule="exact"/>
        <w:jc w:val="center"/>
        <w:rPr>
          <w:rFonts w:hint="default" w:ascii="Times New Roman" w:hAnsi="Times New Roman" w:eastAsia="华文中宋" w:cs="Times New Roman"/>
          <w:sz w:val="44"/>
          <w:szCs w:val="44"/>
        </w:rPr>
      </w:pPr>
      <w:r>
        <w:rPr>
          <w:rFonts w:hint="default" w:ascii="Times New Roman" w:hAnsi="Times New Roman" w:eastAsia="华文中宋" w:cs="Times New Roman"/>
          <w:sz w:val="44"/>
          <w:szCs w:val="44"/>
        </w:rPr>
        <w:t>《养老保险精算数据指标体系规范 第2部分：城乡居民基本养老保险》国家标准</w:t>
      </w:r>
    </w:p>
    <w:p>
      <w:pPr>
        <w:spacing w:line="600" w:lineRule="exact"/>
        <w:jc w:val="center"/>
        <w:rPr>
          <w:rFonts w:hint="default" w:ascii="Times New Roman" w:hAnsi="Times New Roman" w:eastAsia="华文中宋" w:cs="Times New Roman"/>
          <w:sz w:val="44"/>
          <w:szCs w:val="44"/>
        </w:rPr>
      </w:pPr>
      <w:r>
        <w:rPr>
          <w:rFonts w:hint="default" w:ascii="Times New Roman" w:hAnsi="Times New Roman" w:eastAsia="华文中宋" w:cs="Times New Roman"/>
          <w:sz w:val="44"/>
          <w:szCs w:val="44"/>
        </w:rPr>
        <w:t>编制说明</w:t>
      </w:r>
    </w:p>
    <w:p>
      <w:pPr>
        <w:jc w:val="center"/>
        <w:rPr>
          <w:rFonts w:hint="default" w:ascii="Times New Roman" w:hAnsi="Times New Roman" w:eastAsia="黑体" w:cs="Times New Roman"/>
          <w:sz w:val="44"/>
          <w:szCs w:val="44"/>
        </w:rPr>
      </w:pPr>
    </w:p>
    <w:p>
      <w:pPr>
        <w:tabs>
          <w:tab w:val="left" w:pos="540"/>
        </w:tabs>
        <w:adjustRightInd w:val="0"/>
        <w:snapToGrid w:val="0"/>
        <w:spacing w:line="360" w:lineRule="auto"/>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一、工作</w:t>
      </w:r>
      <w:r>
        <w:rPr>
          <w:rFonts w:hint="default" w:ascii="Times New Roman" w:hAnsi="Times New Roman" w:eastAsia="黑体" w:cs="Times New Roman"/>
          <w:sz w:val="32"/>
          <w:szCs w:val="32"/>
          <w:lang w:eastAsia="zh-CN"/>
        </w:rPr>
        <w:t>情况</w:t>
      </w:r>
    </w:p>
    <w:p>
      <w:pPr>
        <w:adjustRightInd w:val="0"/>
        <w:snapToGrid w:val="0"/>
        <w:spacing w:line="360" w:lineRule="auto"/>
        <w:ind w:firstLine="640" w:firstLineChars="200"/>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（一）任务来源</w:t>
      </w:r>
    </w:p>
    <w:p>
      <w:pPr>
        <w:adjustRightInd w:val="0"/>
        <w:snapToGrid w:val="0"/>
        <w:spacing w:line="360" w:lineRule="auto"/>
        <w:ind w:firstLine="640" w:firstLineChars="200"/>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sz w:val="32"/>
          <w:szCs w:val="32"/>
        </w:rPr>
        <w:t>根据国家标准委启动《养老</w:t>
      </w:r>
      <w:r>
        <w:rPr>
          <w:rFonts w:hint="default" w:ascii="Times New Roman" w:hAnsi="Times New Roman" w:eastAsia="仿宋_GB2312" w:cs="Times New Roman"/>
          <w:sz w:val="32"/>
          <w:szCs w:val="32"/>
          <w:highlight w:val="none"/>
        </w:rPr>
        <w:t>保险精算数据指标体系规范 第2部分：城乡居民基本养老</w:t>
      </w:r>
      <w:r>
        <w:rPr>
          <w:rFonts w:hint="default" w:ascii="Times New Roman" w:hAnsi="Times New Roman" w:eastAsia="仿宋_GB2312" w:cs="Times New Roman"/>
          <w:color w:val="auto"/>
          <w:sz w:val="32"/>
          <w:szCs w:val="32"/>
          <w:highlight w:val="none"/>
        </w:rPr>
        <w:t>保险》标准修订工作的要</w:t>
      </w:r>
      <w:r>
        <w:rPr>
          <w:rFonts w:hint="default" w:ascii="Times New Roman" w:hAnsi="Times New Roman" w:eastAsia="仿宋_GB2312" w:cs="Times New Roman"/>
          <w:sz w:val="32"/>
          <w:szCs w:val="32"/>
        </w:rPr>
        <w:t>求，本标准由人力资源和社会保障部社会保险事业管理中心负责项目制定，</w:t>
      </w:r>
      <w:r>
        <w:rPr>
          <w:rFonts w:hint="default" w:ascii="Times New Roman" w:hAnsi="Times New Roman" w:eastAsia="仿宋_GB2312" w:cs="Times New Roman"/>
          <w:kern w:val="0"/>
          <w:sz w:val="32"/>
          <w:szCs w:val="32"/>
        </w:rPr>
        <w:t>全国社会保险标准化技术委员会（SAC/TC 474）归口，人力资源和社会保障部主管</w:t>
      </w:r>
      <w:r>
        <w:rPr>
          <w:rFonts w:hint="default" w:ascii="Times New Roman" w:hAnsi="Times New Roman" w:eastAsia="仿宋_GB2312" w:cs="Times New Roman"/>
          <w:sz w:val="32"/>
          <w:szCs w:val="32"/>
          <w:shd w:val="clear" w:color="auto" w:fill="FFFFFF"/>
        </w:rPr>
        <w:t>。</w:t>
      </w:r>
      <w:r>
        <w:rPr>
          <w:rFonts w:hint="default" w:ascii="Times New Roman" w:hAnsi="Times New Roman" w:eastAsia="仿宋_GB2312" w:cs="Times New Roman"/>
          <w:kern w:val="0"/>
          <w:sz w:val="32"/>
          <w:szCs w:val="32"/>
        </w:rPr>
        <w:t>本标准由人力资源和社会保障部社会保险事业管理中心、</w:t>
      </w:r>
      <w:r>
        <w:rPr>
          <w:rFonts w:hint="default" w:ascii="Times New Roman" w:hAnsi="Times New Roman" w:eastAsia="仿宋_GB2312" w:cs="Times New Roman"/>
          <w:sz w:val="32"/>
          <w:szCs w:val="32"/>
        </w:rPr>
        <w:t>湖北省社会保险服务中心、安徽省社会保险局、江西省社会保险管理中心、新疆维吾尔自治区社会保险中心、淄博市社会保险事业中心、威海市社会保险事业中心、银川市社会保险事业管理中心、兵团第六师社会保险事业管理局8</w:t>
      </w:r>
      <w:r>
        <w:rPr>
          <w:rFonts w:hint="default" w:ascii="Times New Roman" w:hAnsi="Times New Roman" w:eastAsia="仿宋_GB2312" w:cs="Times New Roman"/>
          <w:kern w:val="0"/>
          <w:sz w:val="32"/>
          <w:szCs w:val="32"/>
        </w:rPr>
        <w:t>家单位联合起草</w:t>
      </w:r>
      <w:r>
        <w:rPr>
          <w:rFonts w:hint="eastAsia" w:eastAsia="仿宋_GB2312" w:cs="Times New Roman"/>
          <w:kern w:val="0"/>
          <w:sz w:val="32"/>
          <w:szCs w:val="32"/>
          <w:lang w:eastAsia="zh-CN"/>
        </w:rPr>
        <w:t>，</w:t>
      </w:r>
      <w:r>
        <w:rPr>
          <w:rFonts w:hint="default" w:ascii="Times New Roman" w:hAnsi="Times New Roman" w:eastAsia="仿宋_GB2312" w:cs="Times New Roman"/>
          <w:sz w:val="32"/>
          <w:szCs w:val="32"/>
        </w:rPr>
        <w:t>湖北省社会保险服务中心</w:t>
      </w:r>
      <w:r>
        <w:rPr>
          <w:rFonts w:hint="default" w:ascii="Times New Roman" w:hAnsi="Times New Roman" w:eastAsia="仿宋_GB2312" w:cs="Times New Roman"/>
          <w:kern w:val="0"/>
          <w:sz w:val="32"/>
          <w:szCs w:val="32"/>
        </w:rPr>
        <w:t>为牵头起草单位。</w:t>
      </w:r>
      <w:r>
        <w:rPr>
          <w:rFonts w:hint="eastAsia" w:eastAsia="仿宋_GB2312" w:cs="Times New Roman"/>
          <w:kern w:val="0"/>
          <w:sz w:val="32"/>
          <w:szCs w:val="32"/>
          <w:lang w:eastAsia="zh-CN"/>
        </w:rPr>
        <w:t>本标准为推荐性国家标准，计划号为20221549-T-317。</w:t>
      </w:r>
    </w:p>
    <w:p>
      <w:pPr>
        <w:adjustRightInd w:val="0"/>
        <w:snapToGrid w:val="0"/>
        <w:spacing w:line="360" w:lineRule="auto"/>
        <w:ind w:firstLine="640" w:firstLineChars="200"/>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w:t>
      </w:r>
      <w:r>
        <w:rPr>
          <w:rFonts w:hint="default" w:ascii="Times New Roman" w:hAnsi="Times New Roman" w:eastAsia="楷体_GB2312" w:cs="Times New Roman"/>
          <w:bCs/>
          <w:kern w:val="0"/>
          <w:sz w:val="32"/>
          <w:szCs w:val="32"/>
          <w:lang w:eastAsia="zh-CN"/>
        </w:rPr>
        <w:t>二</w:t>
      </w:r>
      <w:r>
        <w:rPr>
          <w:rFonts w:hint="default" w:ascii="Times New Roman" w:hAnsi="Times New Roman" w:eastAsia="楷体_GB2312" w:cs="Times New Roman"/>
          <w:bCs/>
          <w:kern w:val="0"/>
          <w:sz w:val="32"/>
          <w:szCs w:val="32"/>
        </w:rPr>
        <w:t>）主要工作过程</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2022年初，全国</w:t>
      </w:r>
      <w:r>
        <w:rPr>
          <w:rFonts w:hint="eastAsia" w:eastAsia="仿宋_GB2312" w:cs="Times New Roman"/>
          <w:sz w:val="32"/>
          <w:szCs w:val="32"/>
          <w:lang w:val="en-US" w:eastAsia="zh-CN"/>
        </w:rPr>
        <w:t>社保</w:t>
      </w:r>
      <w:r>
        <w:rPr>
          <w:rFonts w:hint="default" w:ascii="Times New Roman" w:hAnsi="Times New Roman" w:eastAsia="仿宋_GB2312" w:cs="Times New Roman"/>
          <w:sz w:val="32"/>
          <w:szCs w:val="32"/>
        </w:rPr>
        <w:t>标委会明确了《养老保险精算数据指标体系规范 第2部分：城乡居民基本养老保险》国家标准的制定工作由湖北省社会保险服务中心牵头，安徽省社会保险局、江西省社会保险管理中心、新疆维吾尔自治区社会保险中心、淄博市社会保险事业中心、威海市社会保险事业中心、银川市社会保险事业管理中心、兵团第六师社会保险事业管理局等单位共同承担。编制工作包括以下阶段：</w:t>
      </w:r>
    </w:p>
    <w:p>
      <w:pPr>
        <w:adjustRightInd w:val="0"/>
        <w:snapToGrid w:val="0"/>
        <w:spacing w:line="360" w:lineRule="auto"/>
        <w:ind w:firstLine="642"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第一阶段：编制准备阶段。</w:t>
      </w:r>
      <w:r>
        <w:rPr>
          <w:rFonts w:hint="default" w:ascii="Times New Roman" w:hAnsi="Times New Roman" w:eastAsia="仿宋_GB2312" w:cs="Times New Roman"/>
          <w:sz w:val="32"/>
          <w:szCs w:val="32"/>
        </w:rPr>
        <w:t>2022年3月18日，召开了2022年社会保险国家标准制修订工作线上启动会，正式启动了《养老保险精算数据指标体系规范 第2部分：城乡居民基本养老保险》国家标准制定工作。召开了第一次标准编制工作会议，成立了该</w:t>
      </w:r>
      <w:r>
        <w:rPr>
          <w:rFonts w:hint="default" w:ascii="Times New Roman" w:hAnsi="Times New Roman" w:eastAsia="仿宋_GB2312" w:cs="Times New Roman"/>
          <w:kern w:val="0"/>
          <w:sz w:val="32"/>
          <w:szCs w:val="32"/>
        </w:rPr>
        <w:t>国家标准制定工作组</w:t>
      </w:r>
      <w:r>
        <w:rPr>
          <w:rFonts w:hint="default" w:ascii="Times New Roman" w:hAnsi="Times New Roman" w:eastAsia="仿宋_GB2312" w:cs="Times New Roman"/>
          <w:sz w:val="32"/>
          <w:szCs w:val="32"/>
        </w:rPr>
        <w:t>，</w:t>
      </w:r>
      <w:r>
        <w:rPr>
          <w:rFonts w:hint="default" w:ascii="Times New Roman" w:hAnsi="Times New Roman" w:eastAsia="仿宋_GB2312" w:cs="Times New Roman"/>
          <w:kern w:val="0"/>
          <w:sz w:val="32"/>
          <w:szCs w:val="32"/>
        </w:rPr>
        <w:t>明确了各成员单位职责分工，</w:t>
      </w:r>
      <w:r>
        <w:rPr>
          <w:rFonts w:hint="default" w:ascii="Times New Roman" w:hAnsi="Times New Roman" w:eastAsia="仿宋_GB2312" w:cs="Times New Roman"/>
          <w:sz w:val="32"/>
          <w:szCs w:val="32"/>
        </w:rPr>
        <w:t>拟定</w:t>
      </w:r>
      <w:r>
        <w:rPr>
          <w:rFonts w:hint="default" w:ascii="Times New Roman" w:hAnsi="Times New Roman" w:eastAsia="仿宋_GB2312" w:cs="Times New Roman"/>
          <w:kern w:val="0"/>
          <w:sz w:val="32"/>
          <w:szCs w:val="32"/>
        </w:rPr>
        <w:t>了标准编制工作实施方案并上报全国社保标委会。</w:t>
      </w:r>
    </w:p>
    <w:p>
      <w:pPr>
        <w:adjustRightInd w:val="0"/>
        <w:snapToGrid w:val="0"/>
        <w:spacing w:line="360" w:lineRule="auto"/>
        <w:ind w:firstLine="642"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第二阶段：形成标准初稿及征求意见稿。</w:t>
      </w:r>
      <w:r>
        <w:rPr>
          <w:rFonts w:hint="default" w:ascii="Times New Roman" w:hAnsi="Times New Roman" w:eastAsia="仿宋_GB2312" w:cs="Times New Roman"/>
          <w:sz w:val="32"/>
          <w:szCs w:val="32"/>
        </w:rPr>
        <w:t>2022年9月，牵头单位会同各成员单位，在认真梳理国家社会保险相关法律法规、政策文件和相关国家标准、行业标准、精算技术规范的基础上，初步确定了本标准编制的技术框架和主要内容，在充分吸取各方合理化建议后形成了《养老保险精算数据指标体系规范 第2部分：城乡居民基本养老保险》（初稿）。</w:t>
      </w:r>
    </w:p>
    <w:p>
      <w:pPr>
        <w:adjustRightInd w:val="0"/>
        <w:snapToGrid w:val="0"/>
        <w:spacing w:line="360" w:lineRule="auto"/>
        <w:ind w:firstLine="642"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bCs/>
          <w:sz w:val="32"/>
          <w:szCs w:val="32"/>
        </w:rPr>
        <w:t>第三阶段：</w:t>
      </w:r>
      <w:r>
        <w:rPr>
          <w:rFonts w:hint="default" w:ascii="Times New Roman" w:hAnsi="Times New Roman" w:eastAsia="仿宋_GB2312" w:cs="Times New Roman"/>
          <w:b/>
          <w:sz w:val="32"/>
          <w:szCs w:val="32"/>
        </w:rPr>
        <w:t>形成标准征求意见稿。</w:t>
      </w:r>
      <w:r>
        <w:rPr>
          <w:rFonts w:hint="default" w:ascii="Times New Roman" w:hAnsi="Times New Roman" w:eastAsia="仿宋_GB2312" w:cs="Times New Roman"/>
          <w:sz w:val="32"/>
          <w:szCs w:val="32"/>
        </w:rPr>
        <w:t>在征求人社部社保中心、全国社保精算骨干团队及各参与标准起草的成员单位建议意见的基础上，形成了《养老保险精算数据指标体系规范 第2部分：城乡居民基本养老保险》（征求意见稿）。</w:t>
      </w:r>
    </w:p>
    <w:p>
      <w:pPr>
        <w:tabs>
          <w:tab w:val="left" w:pos="540"/>
        </w:tabs>
        <w:adjustRightInd w:val="0"/>
        <w:snapToGrid w:val="0"/>
        <w:spacing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二、编制标准的原则和依据</w:t>
      </w:r>
    </w:p>
    <w:p>
      <w:pPr>
        <w:adjustRightInd w:val="0"/>
        <w:snapToGrid w:val="0"/>
        <w:spacing w:line="360" w:lineRule="auto"/>
        <w:ind w:firstLine="640" w:firstLineChars="200"/>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（一）编制原则</w:t>
      </w:r>
    </w:p>
    <w:p>
      <w:pPr>
        <w:adjustRightInd w:val="0"/>
        <w:snapToGrid w:val="0"/>
        <w:spacing w:line="360" w:lineRule="auto"/>
        <w:ind w:firstLine="642"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1.科学性。</w:t>
      </w:r>
      <w:r>
        <w:rPr>
          <w:rFonts w:hint="default" w:ascii="Times New Roman" w:hAnsi="Times New Roman" w:eastAsia="仿宋_GB2312" w:cs="Times New Roman"/>
          <w:sz w:val="32"/>
          <w:szCs w:val="32"/>
        </w:rPr>
        <w:t>本标准以城乡居民基本养老保险精算需求为导向，以“基本养老保险精算基础数据指标体系”研究成果为基础，科学构建了精算数据指标体系结构，确定了数据指标构成要素，明确了指标释义及数据来源。</w:t>
      </w:r>
    </w:p>
    <w:p>
      <w:pPr>
        <w:pStyle w:val="14"/>
        <w:adjustRightInd w:val="0"/>
        <w:snapToGrid w:val="0"/>
        <w:spacing w:line="360" w:lineRule="auto"/>
        <w:ind w:firstLine="643"/>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2.统一性</w:t>
      </w:r>
      <w:r>
        <w:rPr>
          <w:rFonts w:hint="default" w:ascii="Times New Roman" w:hAnsi="Times New Roman" w:eastAsia="仿宋_GB2312" w:cs="Times New Roman"/>
          <w:sz w:val="32"/>
          <w:szCs w:val="32"/>
        </w:rPr>
        <w:t>。本标准制定过程中，对城乡居民基本养老保险精算工作所采用的数据指标进行了认真研究，形成了城乡居民基本养老保险精算数据指标体系国家标准。</w:t>
      </w:r>
    </w:p>
    <w:p>
      <w:pPr>
        <w:pStyle w:val="14"/>
        <w:adjustRightInd w:val="0"/>
        <w:snapToGrid w:val="0"/>
        <w:spacing w:line="360" w:lineRule="auto"/>
        <w:ind w:firstLine="643"/>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3.实用性。</w:t>
      </w:r>
      <w:r>
        <w:rPr>
          <w:rFonts w:hint="default" w:ascii="Times New Roman" w:hAnsi="Times New Roman" w:eastAsia="仿宋_GB2312" w:cs="Times New Roman"/>
          <w:sz w:val="32"/>
          <w:szCs w:val="32"/>
        </w:rPr>
        <w:t>本标准是指导城乡居民基本养老保险精算时所采用的数据指标体系，应具备较强的实用性。因此，在数据指标筛选时，重点从数据指标在精算业务中的重要性、必要性和实用性方面进行考查和选择。</w:t>
      </w:r>
    </w:p>
    <w:p>
      <w:pPr>
        <w:pStyle w:val="14"/>
        <w:adjustRightInd w:val="0"/>
        <w:snapToGrid w:val="0"/>
        <w:spacing w:line="360" w:lineRule="auto"/>
        <w:ind w:firstLine="643"/>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4.前瞻性</w:t>
      </w:r>
      <w:r>
        <w:rPr>
          <w:rFonts w:hint="default" w:ascii="Times New Roman" w:hAnsi="Times New Roman" w:eastAsia="仿宋_GB2312" w:cs="Times New Roman"/>
          <w:sz w:val="32"/>
          <w:szCs w:val="32"/>
        </w:rPr>
        <w:t>。本标准制定过程中，充分考虑到社会保险事业未来的发展变化，使标准的主要内容、数据指标技术要求等均满足了“立足当前，面向未来”的要求。在把现有稳定成熟的内容纳入标准的同时，合理预测和科学规划了未来发展的需求，使标准具有不断发展和完善的空间。</w:t>
      </w:r>
    </w:p>
    <w:p>
      <w:pPr>
        <w:adjustRightInd w:val="0"/>
        <w:snapToGrid w:val="0"/>
        <w:spacing w:line="360" w:lineRule="auto"/>
        <w:ind w:firstLine="640" w:firstLineChars="200"/>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（二）编制依据</w:t>
      </w:r>
    </w:p>
    <w:p>
      <w:pPr>
        <w:pStyle w:val="30"/>
        <w:numPr>
          <w:ilvl w:val="0"/>
          <w:numId w:val="0"/>
        </w:numPr>
        <w:wordWrap/>
        <w:adjustRightInd w:val="0"/>
        <w:snapToGrid w:val="0"/>
        <w:spacing w:beforeLines="0" w:afterLines="0" w:line="360" w:lineRule="auto"/>
        <w:ind w:firstLine="640"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1.《中华人民共和国社会保险法》；</w:t>
      </w:r>
    </w:p>
    <w:p>
      <w:pPr>
        <w:pStyle w:val="30"/>
        <w:numPr>
          <w:ilvl w:val="0"/>
          <w:numId w:val="0"/>
        </w:numPr>
        <w:wordWrap/>
        <w:adjustRightInd w:val="0"/>
        <w:snapToGrid w:val="0"/>
        <w:spacing w:beforeLines="0" w:afterLines="0" w:line="360" w:lineRule="auto"/>
        <w:ind w:firstLine="640"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2.《国务院关于建立统一的城乡居民基本养老保险制度的意见》（国发〔2014〕8号）；</w:t>
      </w:r>
    </w:p>
    <w:p>
      <w:pPr>
        <w:pStyle w:val="30"/>
        <w:numPr>
          <w:ilvl w:val="0"/>
          <w:numId w:val="0"/>
        </w:numPr>
        <w:wordWrap/>
        <w:adjustRightInd w:val="0"/>
        <w:snapToGrid w:val="0"/>
        <w:spacing w:beforeLines="0" w:afterLines="0" w:line="360" w:lineRule="auto"/>
        <w:ind w:firstLine="640"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3.《人力资源和社会保障部关于加强社会保险精算工作的意见》（人社部发〔2013〕50号）；</w:t>
      </w:r>
    </w:p>
    <w:p>
      <w:pPr>
        <w:pStyle w:val="30"/>
        <w:numPr>
          <w:ilvl w:val="0"/>
          <w:numId w:val="0"/>
        </w:numPr>
        <w:wordWrap/>
        <w:adjustRightInd w:val="0"/>
        <w:snapToGrid w:val="0"/>
        <w:spacing w:beforeLines="0" w:afterLines="0" w:line="360" w:lineRule="auto"/>
        <w:ind w:firstLine="640" w:firstLineChars="200"/>
        <w:outlineLvl w:val="9"/>
        <w:rPr>
          <w:rFonts w:hint="default" w:ascii="Times New Roman" w:hAnsi="Times New Roman" w:eastAsia="仿宋_GB2312" w:cs="Times New Roman"/>
          <w:sz w:val="32"/>
          <w:szCs w:val="32"/>
        </w:rPr>
      </w:pPr>
      <w:r>
        <w:rPr>
          <w:rFonts w:hint="default" w:ascii="Times New Roman" w:eastAsia="仿宋_GB2312" w:cs="Times New Roman"/>
          <w:sz w:val="32"/>
          <w:szCs w:val="32"/>
          <w:lang w:val="en"/>
        </w:rPr>
        <w:t>4</w:t>
      </w:r>
      <w:r>
        <w:rPr>
          <w:rFonts w:hint="default" w:ascii="Times New Roman" w:hAnsi="Times New Roman" w:eastAsia="仿宋_GB2312" w:cs="Times New Roman"/>
          <w:sz w:val="32"/>
          <w:szCs w:val="32"/>
        </w:rPr>
        <w:t>.《人力资源和社会保障部统计报表制度》;</w:t>
      </w:r>
    </w:p>
    <w:p>
      <w:pPr>
        <w:pStyle w:val="30"/>
        <w:numPr>
          <w:ilvl w:val="0"/>
          <w:numId w:val="0"/>
        </w:numPr>
        <w:wordWrap/>
        <w:adjustRightInd w:val="0"/>
        <w:snapToGrid w:val="0"/>
        <w:spacing w:beforeLines="0" w:afterLines="0" w:line="360" w:lineRule="auto"/>
        <w:ind w:firstLine="640" w:firstLineChars="200"/>
        <w:outlineLvl w:val="9"/>
        <w:rPr>
          <w:rFonts w:hint="default" w:ascii="Times New Roman" w:hAnsi="Times New Roman" w:eastAsia="仿宋_GB2312" w:cs="Times New Roman"/>
          <w:sz w:val="32"/>
          <w:szCs w:val="32"/>
        </w:rPr>
      </w:pPr>
      <w:r>
        <w:rPr>
          <w:rFonts w:hint="default" w:ascii="Times New Roman" w:eastAsia="仿宋_GB2312" w:cs="Times New Roman"/>
          <w:sz w:val="32"/>
          <w:szCs w:val="32"/>
          <w:lang w:val="en"/>
        </w:rPr>
        <w:t>5</w:t>
      </w:r>
      <w:bookmarkStart w:id="0" w:name="_GoBack"/>
      <w:bookmarkEnd w:id="0"/>
      <w:r>
        <w:rPr>
          <w:rFonts w:hint="default" w:ascii="Times New Roman" w:hAnsi="Times New Roman" w:eastAsia="仿宋_GB2312" w:cs="Times New Roman"/>
          <w:sz w:val="32"/>
          <w:szCs w:val="32"/>
        </w:rPr>
        <w:t>.《中国统计年鉴》和第</w:t>
      </w:r>
      <w:r>
        <w:rPr>
          <w:rFonts w:hint="default" w:ascii="Times New Roman" w:eastAsia="仿宋_GB2312" w:cs="Times New Roman"/>
          <w:sz w:val="32"/>
          <w:szCs w:val="32"/>
          <w:lang w:val="en"/>
        </w:rPr>
        <w:t>七</w:t>
      </w:r>
      <w:r>
        <w:rPr>
          <w:rFonts w:hint="default" w:ascii="Times New Roman" w:hAnsi="Times New Roman" w:eastAsia="仿宋_GB2312" w:cs="Times New Roman"/>
          <w:sz w:val="32"/>
          <w:szCs w:val="32"/>
        </w:rPr>
        <w:t>次全国人口普查数据。</w:t>
      </w:r>
    </w:p>
    <w:p>
      <w:pPr>
        <w:tabs>
          <w:tab w:val="left" w:pos="540"/>
        </w:tabs>
        <w:adjustRightInd w:val="0"/>
        <w:snapToGrid w:val="0"/>
        <w:spacing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三、标准的主要技术内容</w:t>
      </w:r>
    </w:p>
    <w:p>
      <w:pPr>
        <w:adjustRightInd w:val="0"/>
        <w:snapToGrid w:val="0"/>
        <w:spacing w:line="360" w:lineRule="auto"/>
        <w:ind w:firstLine="640" w:firstLineChars="200"/>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（一）构成</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本标准共分为七章，包括：范围、规范性引用文件、术语和定义、符号、数据指标的分类和组成、公共基础数据指标体系、精算业务数据指标体系。</w:t>
      </w:r>
    </w:p>
    <w:p>
      <w:pPr>
        <w:adjustRightInd w:val="0"/>
        <w:snapToGrid w:val="0"/>
        <w:spacing w:line="360" w:lineRule="auto"/>
        <w:ind w:firstLine="640" w:firstLineChars="200"/>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（二）标准内容的确定　</w:t>
      </w:r>
    </w:p>
    <w:p>
      <w:pPr>
        <w:adjustRightInd w:val="0"/>
        <w:snapToGrid w:val="0"/>
        <w:spacing w:line="360" w:lineRule="auto"/>
        <w:ind w:firstLine="642"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1.数据指标的分类和组成。</w:t>
      </w:r>
      <w:r>
        <w:rPr>
          <w:rFonts w:hint="default" w:ascii="Times New Roman" w:hAnsi="Times New Roman" w:eastAsia="仿宋_GB2312" w:cs="Times New Roman"/>
          <w:sz w:val="32"/>
          <w:szCs w:val="32"/>
        </w:rPr>
        <w:t>精算数据指标按照其属性及统计来源分为公共基础数据指标和精算业务数据指标。前者由反映国民经济和社会发展情况，并与养老保险精算相关的统计数据指标组成，数据来源于国家统计部门发布的统计年鉴、公报等；后者由反映城乡居民基本养老保险运行发展情况的各类数据指标组成，数据来源于城乡居民养老保险统计报表、基金财务报表和养老保险业务数据库中与精算业务相关的各类数据指标项等。</w:t>
      </w:r>
    </w:p>
    <w:p>
      <w:pPr>
        <w:adjustRightInd w:val="0"/>
        <w:snapToGrid w:val="0"/>
        <w:spacing w:line="360" w:lineRule="auto"/>
        <w:ind w:firstLine="642" w:firstLineChars="200"/>
        <w:rPr>
          <w:rFonts w:hint="default" w:ascii="Times New Roman" w:hAnsi="Times New Roman" w:eastAsia="黑体" w:cs="Times New Roman"/>
        </w:rPr>
      </w:pPr>
      <w:r>
        <w:rPr>
          <w:rFonts w:hint="default" w:ascii="Times New Roman" w:hAnsi="Times New Roman" w:eastAsia="仿宋_GB2312" w:cs="Times New Roman"/>
          <w:b/>
          <w:bCs/>
          <w:sz w:val="32"/>
          <w:szCs w:val="32"/>
          <w:lang w:val="en"/>
        </w:rPr>
        <w:t>2.</w:t>
      </w:r>
      <w:r>
        <w:rPr>
          <w:rFonts w:hint="default" w:ascii="Times New Roman" w:hAnsi="Times New Roman" w:eastAsia="仿宋_GB2312" w:cs="Times New Roman"/>
          <w:b/>
          <w:bCs/>
          <w:sz w:val="32"/>
          <w:szCs w:val="32"/>
        </w:rPr>
        <w:t>公共基础数据指标体系。</w:t>
      </w:r>
      <w:r>
        <w:rPr>
          <w:rFonts w:hint="default" w:ascii="Times New Roman" w:hAnsi="Times New Roman" w:eastAsia="仿宋_GB2312" w:cs="Times New Roman"/>
          <w:sz w:val="32"/>
          <w:szCs w:val="32"/>
        </w:rPr>
        <w:t>在养老保险精算中，将相关的公共基础数据指标有机整合，并集合形成公共基础数据指标体系。该体系由9个要素组成：即宏观经济数据、人口情况数据、劳动就业数据、居民收支数据、人口分布情况数据、人口死亡率数据、育龄妇女生育率数据、劳动力参与率和失业率数据、人口迁移情况数据。每个要素中所包含的指标名称、单位和指标释义等要求均以表格的形式逐项列出。7个要素的数据指标数量共计为96个，见下表1：</w:t>
      </w:r>
    </w:p>
    <w:p>
      <w:pPr>
        <w:adjustRightInd w:val="0"/>
        <w:snapToGrid w:val="0"/>
        <w:spacing w:line="3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表1  7个要素数据指标数量</w:t>
      </w:r>
    </w:p>
    <w:tbl>
      <w:tblPr>
        <w:tblStyle w:val="7"/>
        <w:tblW w:w="7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78"/>
        <w:gridCol w:w="3162"/>
        <w:gridCol w:w="33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078" w:type="dxa"/>
            <w:vAlign w:val="center"/>
          </w:tcPr>
          <w:p>
            <w:pPr>
              <w:adjustRightInd w:val="0"/>
              <w:snapToGrid w:val="0"/>
              <w:spacing w:line="36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序号</w:t>
            </w:r>
          </w:p>
        </w:tc>
        <w:tc>
          <w:tcPr>
            <w:tcW w:w="3162" w:type="dxa"/>
            <w:vAlign w:val="center"/>
          </w:tcPr>
          <w:p>
            <w:pPr>
              <w:adjustRightInd w:val="0"/>
              <w:snapToGrid w:val="0"/>
              <w:spacing w:line="36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要素</w:t>
            </w:r>
          </w:p>
        </w:tc>
        <w:tc>
          <w:tcPr>
            <w:tcW w:w="3375" w:type="dxa"/>
            <w:vAlign w:val="center"/>
          </w:tcPr>
          <w:p>
            <w:pPr>
              <w:adjustRightInd w:val="0"/>
              <w:snapToGrid w:val="0"/>
              <w:spacing w:line="360" w:lineRule="auto"/>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数据指标数量（个）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078"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w:t>
            </w:r>
          </w:p>
        </w:tc>
        <w:tc>
          <w:tcPr>
            <w:tcW w:w="3162" w:type="dxa"/>
            <w:vAlign w:val="center"/>
          </w:tcPr>
          <w:p>
            <w:pPr>
              <w:adjustRightInd w:val="0"/>
              <w:snapToGrid w:val="0"/>
              <w:spacing w:line="360" w:lineRule="auto"/>
              <w:rPr>
                <w:rFonts w:hint="default" w:ascii="Times New Roman" w:hAnsi="Times New Roman" w:cs="Times New Roman"/>
                <w:kern w:val="0"/>
                <w:sz w:val="24"/>
                <w:szCs w:val="24"/>
              </w:rPr>
            </w:pPr>
            <w:r>
              <w:rPr>
                <w:rFonts w:hint="default" w:ascii="Times New Roman" w:hAnsi="Times New Roman" w:cs="Times New Roman"/>
                <w:kern w:val="0"/>
                <w:sz w:val="24"/>
                <w:szCs w:val="24"/>
              </w:rPr>
              <w:t>宏观经济</w:t>
            </w:r>
          </w:p>
        </w:tc>
        <w:tc>
          <w:tcPr>
            <w:tcW w:w="3375"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078"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2</w:t>
            </w:r>
          </w:p>
        </w:tc>
        <w:tc>
          <w:tcPr>
            <w:tcW w:w="3162" w:type="dxa"/>
            <w:vAlign w:val="center"/>
          </w:tcPr>
          <w:p>
            <w:pPr>
              <w:adjustRightInd w:val="0"/>
              <w:snapToGrid w:val="0"/>
              <w:spacing w:line="360" w:lineRule="auto"/>
              <w:rPr>
                <w:rFonts w:hint="default" w:ascii="Times New Roman" w:hAnsi="Times New Roman" w:cs="Times New Roman"/>
                <w:kern w:val="0"/>
                <w:sz w:val="24"/>
                <w:szCs w:val="24"/>
              </w:rPr>
            </w:pPr>
            <w:r>
              <w:rPr>
                <w:rFonts w:hint="default" w:ascii="Times New Roman" w:hAnsi="Times New Roman" w:cs="Times New Roman"/>
                <w:kern w:val="0"/>
                <w:sz w:val="24"/>
                <w:szCs w:val="24"/>
              </w:rPr>
              <w:t>人口情况</w:t>
            </w:r>
          </w:p>
        </w:tc>
        <w:tc>
          <w:tcPr>
            <w:tcW w:w="3375"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078"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3162" w:type="dxa"/>
            <w:vAlign w:val="center"/>
          </w:tcPr>
          <w:p>
            <w:pPr>
              <w:adjustRightInd w:val="0"/>
              <w:snapToGrid w:val="0"/>
              <w:spacing w:line="360" w:lineRule="auto"/>
              <w:rPr>
                <w:rFonts w:hint="default" w:ascii="Times New Roman" w:hAnsi="Times New Roman" w:cs="Times New Roman"/>
                <w:kern w:val="0"/>
                <w:sz w:val="24"/>
                <w:szCs w:val="24"/>
              </w:rPr>
            </w:pPr>
            <w:r>
              <w:rPr>
                <w:rFonts w:hint="default" w:ascii="Times New Roman" w:hAnsi="Times New Roman" w:cs="Times New Roman"/>
                <w:kern w:val="0"/>
                <w:sz w:val="24"/>
                <w:szCs w:val="24"/>
              </w:rPr>
              <w:t>居民收支</w:t>
            </w:r>
          </w:p>
        </w:tc>
        <w:tc>
          <w:tcPr>
            <w:tcW w:w="3375"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078"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3162" w:type="dxa"/>
            <w:vAlign w:val="center"/>
          </w:tcPr>
          <w:p>
            <w:pPr>
              <w:adjustRightInd w:val="0"/>
              <w:snapToGrid w:val="0"/>
              <w:spacing w:line="360" w:lineRule="auto"/>
              <w:rPr>
                <w:rFonts w:hint="default" w:ascii="Times New Roman" w:hAnsi="Times New Roman" w:cs="Times New Roman"/>
                <w:kern w:val="0"/>
                <w:sz w:val="24"/>
                <w:szCs w:val="24"/>
              </w:rPr>
            </w:pPr>
            <w:r>
              <w:rPr>
                <w:rFonts w:hint="default" w:ascii="Times New Roman" w:hAnsi="Times New Roman" w:cs="Times New Roman"/>
                <w:kern w:val="0"/>
                <w:sz w:val="24"/>
                <w:szCs w:val="24"/>
              </w:rPr>
              <w:t>人口分布情况</w:t>
            </w:r>
          </w:p>
        </w:tc>
        <w:tc>
          <w:tcPr>
            <w:tcW w:w="3375"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078"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3162" w:type="dxa"/>
            <w:vAlign w:val="center"/>
          </w:tcPr>
          <w:p>
            <w:pPr>
              <w:adjustRightInd w:val="0"/>
              <w:snapToGrid w:val="0"/>
              <w:spacing w:line="360" w:lineRule="auto"/>
              <w:rPr>
                <w:rFonts w:hint="default" w:ascii="Times New Roman" w:hAnsi="Times New Roman" w:cs="Times New Roman"/>
                <w:kern w:val="0"/>
                <w:sz w:val="24"/>
                <w:szCs w:val="24"/>
              </w:rPr>
            </w:pPr>
            <w:r>
              <w:rPr>
                <w:rFonts w:hint="default" w:ascii="Times New Roman" w:hAnsi="Times New Roman" w:cs="Times New Roman"/>
                <w:kern w:val="0"/>
                <w:sz w:val="24"/>
                <w:szCs w:val="24"/>
              </w:rPr>
              <w:t>人口死亡率</w:t>
            </w:r>
          </w:p>
        </w:tc>
        <w:tc>
          <w:tcPr>
            <w:tcW w:w="3375"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078"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6</w:t>
            </w:r>
          </w:p>
        </w:tc>
        <w:tc>
          <w:tcPr>
            <w:tcW w:w="3162" w:type="dxa"/>
            <w:vAlign w:val="center"/>
          </w:tcPr>
          <w:p>
            <w:pPr>
              <w:adjustRightInd w:val="0"/>
              <w:snapToGrid w:val="0"/>
              <w:spacing w:line="360" w:lineRule="auto"/>
              <w:rPr>
                <w:rFonts w:hint="default" w:ascii="Times New Roman" w:hAnsi="Times New Roman" w:cs="Times New Roman"/>
                <w:kern w:val="0"/>
                <w:sz w:val="24"/>
                <w:szCs w:val="24"/>
              </w:rPr>
            </w:pPr>
            <w:r>
              <w:rPr>
                <w:rFonts w:hint="default" w:ascii="Times New Roman" w:hAnsi="Times New Roman" w:cs="Times New Roman"/>
                <w:kern w:val="0"/>
                <w:sz w:val="24"/>
                <w:szCs w:val="24"/>
              </w:rPr>
              <w:t>育龄妇女生育率</w:t>
            </w:r>
          </w:p>
        </w:tc>
        <w:tc>
          <w:tcPr>
            <w:tcW w:w="3375"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078"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7</w:t>
            </w:r>
          </w:p>
        </w:tc>
        <w:tc>
          <w:tcPr>
            <w:tcW w:w="3162" w:type="dxa"/>
            <w:vAlign w:val="center"/>
          </w:tcPr>
          <w:p>
            <w:pPr>
              <w:adjustRightInd w:val="0"/>
              <w:snapToGrid w:val="0"/>
              <w:spacing w:line="360" w:lineRule="auto"/>
              <w:rPr>
                <w:rFonts w:hint="default" w:ascii="Times New Roman" w:hAnsi="Times New Roman" w:cs="Times New Roman"/>
                <w:kern w:val="0"/>
                <w:sz w:val="24"/>
                <w:szCs w:val="24"/>
              </w:rPr>
            </w:pPr>
            <w:r>
              <w:rPr>
                <w:rFonts w:hint="default" w:ascii="Times New Roman" w:hAnsi="Times New Roman" w:cs="Times New Roman"/>
                <w:kern w:val="0"/>
                <w:sz w:val="24"/>
                <w:szCs w:val="24"/>
              </w:rPr>
              <w:t>人口迁移情况</w:t>
            </w:r>
          </w:p>
        </w:tc>
        <w:tc>
          <w:tcPr>
            <w:tcW w:w="3375"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240" w:type="dxa"/>
            <w:gridSpan w:val="2"/>
            <w:vAlign w:val="center"/>
          </w:tcPr>
          <w:p>
            <w:pPr>
              <w:adjustRightInd w:val="0"/>
              <w:snapToGrid w:val="0"/>
              <w:spacing w:line="360" w:lineRule="auto"/>
              <w:rPr>
                <w:rFonts w:hint="default" w:ascii="Times New Roman" w:hAnsi="Times New Roman" w:cs="Times New Roman"/>
                <w:kern w:val="0"/>
                <w:sz w:val="24"/>
                <w:szCs w:val="24"/>
              </w:rPr>
            </w:pPr>
            <w:r>
              <w:rPr>
                <w:rFonts w:hint="default" w:ascii="Times New Roman" w:hAnsi="Times New Roman" w:cs="Times New Roman"/>
                <w:kern w:val="0"/>
                <w:sz w:val="24"/>
                <w:szCs w:val="24"/>
              </w:rPr>
              <w:t>合计</w:t>
            </w:r>
          </w:p>
        </w:tc>
        <w:tc>
          <w:tcPr>
            <w:tcW w:w="3375" w:type="dxa"/>
            <w:vAlign w:val="center"/>
          </w:tcPr>
          <w:p>
            <w:pPr>
              <w:adjustRightInd w:val="0"/>
              <w:snapToGrid w:val="0"/>
              <w:spacing w:line="360" w:lineRule="auto"/>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96</w:t>
            </w:r>
          </w:p>
        </w:tc>
      </w:tr>
    </w:tbl>
    <w:p>
      <w:pPr>
        <w:adjustRightInd w:val="0"/>
        <w:snapToGrid w:val="0"/>
        <w:spacing w:before="312" w:beforeLines="100" w:line="360" w:lineRule="auto"/>
        <w:ind w:firstLine="640" w:firstLineChars="200"/>
        <w:rPr>
          <w:rFonts w:hint="default" w:ascii="Times New Roman" w:hAnsi="Times New Roman" w:eastAsia="黑体" w:cs="Times New Roma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b/>
          <w:bCs/>
          <w:sz w:val="32"/>
          <w:szCs w:val="32"/>
        </w:rPr>
        <w:t>精算业务数据指标体系。</w:t>
      </w:r>
      <w:r>
        <w:rPr>
          <w:rFonts w:hint="default" w:ascii="Times New Roman" w:hAnsi="Times New Roman" w:eastAsia="仿宋_GB2312" w:cs="Times New Roman"/>
          <w:sz w:val="32"/>
          <w:szCs w:val="32"/>
        </w:rPr>
        <w:t>在养老保险精算中，将城乡居民基本养老保险精算业务数据指标有机整合，并集合形成精算业务数据指标体系。该体系由基本养老保险综合情况(城乡居民)、基本养老保险基金收支情况（城乡居民）和参保人员及征缴数据指标3个指标子体系组成。</w:t>
      </w:r>
    </w:p>
    <w:p>
      <w:pPr>
        <w:adjustRightInd w:val="0"/>
        <w:snapToGrid w:val="0"/>
        <w:spacing w:line="360" w:lineRule="auto"/>
        <w:ind w:firstLine="640" w:firstLineChars="200"/>
        <w:rPr>
          <w:rFonts w:hint="default" w:ascii="Times New Roman" w:hAnsi="Times New Roman" w:eastAsia="黑体" w:cs="Times New Roman"/>
          <w:kern w:val="0"/>
          <w:sz w:val="32"/>
          <w:szCs w:val="32"/>
        </w:rPr>
      </w:pPr>
      <w:r>
        <w:rPr>
          <w:rFonts w:hint="default" w:eastAsia="黑体" w:cs="Times New Roman"/>
          <w:kern w:val="0"/>
          <w:sz w:val="32"/>
          <w:szCs w:val="32"/>
          <w:lang w:val="en"/>
        </w:rPr>
        <w:t>四</w:t>
      </w:r>
      <w:r>
        <w:rPr>
          <w:rFonts w:hint="default" w:ascii="Times New Roman" w:hAnsi="Times New Roman" w:eastAsia="黑体" w:cs="Times New Roman"/>
          <w:kern w:val="0"/>
          <w:sz w:val="32"/>
          <w:szCs w:val="32"/>
        </w:rPr>
        <w:t>、与有关的现行法律、法规和强制性国家标准的关系</w:t>
      </w:r>
    </w:p>
    <w:p>
      <w:pPr>
        <w:adjustRightInd w:val="0"/>
        <w:snapToGrid w:val="0"/>
        <w:spacing w:line="360" w:lineRule="auto"/>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本标准为推荐性国家标准，经查阅，本标准与国内法律、法规没有冲突，在制定过程及将来的贯彻实施中均服从国家现行的法律、法规和强制性标准。</w:t>
      </w:r>
    </w:p>
    <w:p>
      <w:pPr>
        <w:adjustRightInd w:val="0"/>
        <w:snapToGrid w:val="0"/>
        <w:spacing w:line="360" w:lineRule="auto"/>
        <w:ind w:firstLine="640" w:firstLineChars="200"/>
        <w:rPr>
          <w:rFonts w:hint="default" w:ascii="Times New Roman" w:hAnsi="Times New Roman" w:eastAsia="黑体" w:cs="Times New Roman"/>
          <w:kern w:val="0"/>
          <w:sz w:val="32"/>
          <w:szCs w:val="32"/>
        </w:rPr>
      </w:pPr>
      <w:r>
        <w:rPr>
          <w:rFonts w:hint="default" w:eastAsia="黑体" w:cs="Times New Roman"/>
          <w:kern w:val="0"/>
          <w:sz w:val="32"/>
          <w:szCs w:val="32"/>
          <w:lang w:val="en"/>
        </w:rPr>
        <w:t>五</w:t>
      </w:r>
      <w:r>
        <w:rPr>
          <w:rFonts w:hint="default" w:ascii="Times New Roman" w:hAnsi="Times New Roman" w:eastAsia="黑体" w:cs="Times New Roman"/>
          <w:kern w:val="0"/>
          <w:sz w:val="32"/>
          <w:szCs w:val="32"/>
        </w:rPr>
        <w:t>、重大分歧意见的处理经过和依据</w:t>
      </w:r>
    </w:p>
    <w:p>
      <w:pPr>
        <w:adjustRightInd w:val="0"/>
        <w:snapToGrid w:val="0"/>
        <w:spacing w:line="360" w:lineRule="auto"/>
        <w:ind w:firstLine="640" w:firstLineChars="200"/>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（一）标准定位问题的确定</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《养老保险精算数据指标体系规范  第</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部分：城乡居民基本养老保险》国家标准是作为提高我国养老保险精算数据指标体系的标准化</w:t>
      </w:r>
      <w:r>
        <w:rPr>
          <w:rFonts w:hint="eastAsia" w:eastAsia="仿宋_GB2312" w:cs="Times New Roman"/>
          <w:sz w:val="32"/>
          <w:szCs w:val="32"/>
          <w:lang w:val="en-US" w:eastAsia="zh-CN"/>
        </w:rPr>
        <w:t>水平</w:t>
      </w:r>
      <w:r>
        <w:rPr>
          <w:rFonts w:hint="default" w:ascii="Times New Roman" w:hAnsi="Times New Roman" w:eastAsia="仿宋_GB2312" w:cs="Times New Roman"/>
          <w:sz w:val="32"/>
          <w:szCs w:val="32"/>
        </w:rPr>
        <w:t>，为养老保险精算数据库建设提供支撑，提升养老保险精算技术及应用水平而制定的标准，侧重于养老保险精算数据指标的统一、数据来源可靠，以及满足养老保险精算业务需求和应用。</w:t>
      </w:r>
    </w:p>
    <w:p>
      <w:pPr>
        <w:adjustRightInd w:val="0"/>
        <w:snapToGrid w:val="0"/>
        <w:spacing w:line="360" w:lineRule="auto"/>
        <w:ind w:firstLine="640" w:firstLineChars="200"/>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（二）标准结构层级的确定</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家标准中涉及的精算基础数据指标体系框架，根据数据属性及来源渠道分为了公共基础数据指标体系、精算业务数据指标体系两部分，这种分类方式是源于对数据指标属性及来源的不同对其进行了科学划分。同时，对精算业务数据指标体系的具体层级进行了细分，按照业务类型分为了综合报表、缴费人员及征缴和享待人员及待遇3个子体系，并对各个子体系进行进一步的细分及指标解释，使各个层级之间关系更加明晰。</w:t>
      </w:r>
    </w:p>
    <w:p>
      <w:pPr>
        <w:adjustRightInd w:val="0"/>
        <w:snapToGrid w:val="0"/>
        <w:spacing w:line="360" w:lineRule="auto"/>
        <w:ind w:firstLine="640" w:firstLineChars="200"/>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（三）数据指标确定的原则</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数据指标按照其在养老保险精算中的重要性、必要性、通用性和成熟性进行确定，主要包括公共基础数据指标和精算业务数据指标。</w:t>
      </w:r>
    </w:p>
    <w:p>
      <w:pPr>
        <w:adjustRightInd w:val="0"/>
        <w:snapToGrid w:val="0"/>
        <w:spacing w:line="360" w:lineRule="auto"/>
        <w:ind w:firstLine="640" w:firstLineChars="200"/>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（四）数据指标释义的依据</w:t>
      </w:r>
    </w:p>
    <w:p>
      <w:pPr>
        <w:tabs>
          <w:tab w:val="left" w:pos="540"/>
        </w:tabs>
        <w:adjustRightInd w:val="0"/>
        <w:snapToGrid w:val="0"/>
        <w:spacing w:line="360" w:lineRule="auto"/>
        <w:ind w:firstLine="640"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t>对于数据指标表中涉及的相关指标释义，统一来源于最新一期国家统计局对外公布的《国家统计年鉴》和人力资源社会保障统计报表制度，尽量做到科学准确、有据可查；对于部分数据指标没有规范释义的，则注明了数据的来源。</w:t>
      </w:r>
    </w:p>
    <w:p>
      <w:pPr>
        <w:adjustRightInd w:val="0"/>
        <w:snapToGrid w:val="0"/>
        <w:spacing w:line="360" w:lineRule="auto"/>
        <w:ind w:firstLine="640" w:firstLineChars="200"/>
        <w:rPr>
          <w:rFonts w:hint="default" w:ascii="Times New Roman" w:hAnsi="Times New Roman" w:eastAsia="黑体" w:cs="Times New Roman"/>
          <w:kern w:val="0"/>
          <w:sz w:val="32"/>
          <w:szCs w:val="32"/>
        </w:rPr>
      </w:pPr>
      <w:r>
        <w:rPr>
          <w:rFonts w:hint="default" w:eastAsia="黑体" w:cs="Times New Roman"/>
          <w:kern w:val="0"/>
          <w:sz w:val="32"/>
          <w:szCs w:val="32"/>
          <w:lang w:val="en"/>
        </w:rPr>
        <w:t>六</w:t>
      </w:r>
      <w:r>
        <w:rPr>
          <w:rFonts w:hint="default" w:ascii="Times New Roman" w:hAnsi="Times New Roman" w:eastAsia="黑体" w:cs="Times New Roman"/>
          <w:kern w:val="0"/>
          <w:sz w:val="32"/>
          <w:szCs w:val="32"/>
        </w:rPr>
        <w:t>、国家标准作为强制性国家标准或推荐性国家标准的建议</w:t>
      </w:r>
    </w:p>
    <w:p>
      <w:pPr>
        <w:adjustRightInd w:val="0"/>
        <w:snapToGrid w:val="0"/>
        <w:spacing w:line="360" w:lineRule="auto"/>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建议以推荐性国家标准形式发布本标准。</w:t>
      </w:r>
    </w:p>
    <w:p>
      <w:pPr>
        <w:adjustRightInd w:val="0"/>
        <w:snapToGrid w:val="0"/>
        <w:spacing w:line="360" w:lineRule="auto"/>
        <w:ind w:firstLine="640" w:firstLineChars="200"/>
        <w:rPr>
          <w:rFonts w:hint="default" w:ascii="Times New Roman" w:hAnsi="Times New Roman" w:eastAsia="黑体" w:cs="Times New Roman"/>
          <w:kern w:val="0"/>
          <w:sz w:val="32"/>
          <w:szCs w:val="32"/>
        </w:rPr>
      </w:pPr>
      <w:r>
        <w:rPr>
          <w:rFonts w:hint="default" w:eastAsia="黑体" w:cs="Times New Roman"/>
          <w:kern w:val="0"/>
          <w:sz w:val="32"/>
          <w:szCs w:val="32"/>
          <w:lang w:val="en"/>
        </w:rPr>
        <w:t>七</w:t>
      </w:r>
      <w:r>
        <w:rPr>
          <w:rFonts w:hint="default" w:ascii="Times New Roman" w:hAnsi="Times New Roman" w:eastAsia="黑体" w:cs="Times New Roman"/>
          <w:kern w:val="0"/>
          <w:sz w:val="32"/>
          <w:szCs w:val="32"/>
        </w:rPr>
        <w:t>、贯彻标准的要求和措施建议</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标准作为我国社会保险精算建设中急需制定的基础标准之一，对于规范养老保险精算基础数据的采集、建立统一的养老保险精算数据库、提高精算技术应用效率和水平，利用精算技术支持养老保险制度改革和宏观管理具有十分重要的意义。</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了强化标准实施效果，本标准发布实施后，建议：一是举行标准宣贯培训，讲解标准制定思路及标准内容，做好标准的宣传普及工作。二是建议各地从各自实际情况出发，进一步出台细化的地方标准或地方性文件，以省为单位，量化考核指标与业务经办程度，切实发挥本项国家标准的顶层指导、带动和规范作用。</w:t>
      </w:r>
    </w:p>
    <w:p>
      <w:pPr>
        <w:adjustRightInd w:val="0"/>
        <w:snapToGrid w:val="0"/>
        <w:spacing w:line="360" w:lineRule="auto"/>
        <w:ind w:firstLine="640" w:firstLineChars="200"/>
        <w:rPr>
          <w:rFonts w:hint="default" w:ascii="Times New Roman" w:hAnsi="Times New Roman" w:eastAsia="仿宋_GB2312" w:cs="Times New Roman"/>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6</w:t>
    </w:r>
    <w:r>
      <w:rPr>
        <w:lang w:val="zh-CN"/>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7"/>
      <w:suff w:val="nothing"/>
      <w:lvlText w:val="%1　"/>
      <w:lvlJc w:val="left"/>
      <w:rPr>
        <w:rFonts w:hint="eastAsia" w:ascii="黑体" w:hAnsi="Times New Roman" w:eastAsia="黑体" w:cs="Times New Roman"/>
        <w:b w:val="0"/>
        <w:bCs w:val="0"/>
        <w:i w:val="0"/>
        <w:iCs w:val="0"/>
        <w:sz w:val="21"/>
        <w:szCs w:val="21"/>
      </w:rPr>
    </w:lvl>
    <w:lvl w:ilvl="1" w:tentative="0">
      <w:start w:val="1"/>
      <w:numFmt w:val="decimal"/>
      <w:pStyle w:val="16"/>
      <w:suff w:val="nothing"/>
      <w:lvlText w:val="%1.%2　"/>
      <w:lvlJc w:val="left"/>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8"/>
      <w:suff w:val="nothing"/>
      <w:lvlText w:val="%1.%2.%3　"/>
      <w:lvlJc w:val="left"/>
      <w:pPr>
        <w:ind w:left="420"/>
      </w:pPr>
      <w:rPr>
        <w:rFonts w:hint="eastAsia" w:ascii="黑体" w:hAnsi="Times New Roman" w:eastAsia="黑体" w:cs="Times New Roman"/>
        <w:b w:val="0"/>
        <w:bCs w:val="0"/>
        <w:i w:val="0"/>
        <w:iCs w:val="0"/>
        <w:sz w:val="21"/>
        <w:szCs w:val="21"/>
      </w:rPr>
    </w:lvl>
    <w:lvl w:ilvl="3" w:tentative="0">
      <w:start w:val="1"/>
      <w:numFmt w:val="decimal"/>
      <w:pStyle w:val="19"/>
      <w:suff w:val="nothing"/>
      <w:lvlText w:val="%1.%2.%3.%4　"/>
      <w:lvlJc w:val="left"/>
      <w:pPr>
        <w:ind w:left="840"/>
      </w:pPr>
      <w:rPr>
        <w:rFonts w:hint="eastAsia" w:ascii="黑体" w:hAnsi="Times New Roman" w:eastAsia="黑体" w:cs="Times New Roman"/>
        <w:b w:val="0"/>
        <w:bCs w:val="0"/>
        <w:i w:val="0"/>
        <w:iCs w:val="0"/>
        <w:sz w:val="21"/>
        <w:szCs w:val="21"/>
      </w:rPr>
    </w:lvl>
    <w:lvl w:ilvl="4" w:tentative="0">
      <w:start w:val="1"/>
      <w:numFmt w:val="decimal"/>
      <w:pStyle w:val="20"/>
      <w:suff w:val="nothing"/>
      <w:lvlText w:val="%1.%2.%3.%4.%5　"/>
      <w:lvlJc w:val="left"/>
      <w:rPr>
        <w:rFonts w:hint="eastAsia" w:ascii="黑体" w:hAnsi="Times New Roman" w:eastAsia="黑体" w:cs="Times New Roman"/>
        <w:b w:val="0"/>
        <w:bCs w:val="0"/>
        <w:i w:val="0"/>
        <w:iCs w:val="0"/>
        <w:sz w:val="21"/>
        <w:szCs w:val="21"/>
      </w:rPr>
    </w:lvl>
    <w:lvl w:ilvl="5" w:tentative="0">
      <w:start w:val="1"/>
      <w:numFmt w:val="decimal"/>
      <w:pStyle w:val="21"/>
      <w:suff w:val="nothing"/>
      <w:lvlText w:val="%1.%2.%3.%4.%5.%6　"/>
      <w:lvlJc w:val="left"/>
      <w:rPr>
        <w:rFonts w:hint="eastAsia" w:ascii="黑体" w:hAnsi="Times New Roman" w:eastAsia="黑体" w:cs="Times New Roman"/>
        <w:b w:val="0"/>
        <w:bCs w:val="0"/>
        <w:i w:val="0"/>
        <w:iCs w:val="0"/>
        <w:sz w:val="21"/>
        <w:szCs w:val="21"/>
      </w:rPr>
    </w:lvl>
    <w:lvl w:ilvl="6" w:tentative="0">
      <w:start w:val="1"/>
      <w:numFmt w:val="decimal"/>
      <w:suff w:val="nothing"/>
      <w:lvlText w:val="%1%2.%3.%4.%5.%6.%7　"/>
      <w:lvlJc w:val="left"/>
      <w:rPr>
        <w:rFonts w:hint="eastAsia" w:ascii="黑体" w:hAnsi="Times New Roman" w:eastAsia="黑体" w:cs="Times New Roman"/>
        <w:b w:val="0"/>
        <w:bCs w:val="0"/>
        <w:i w:val="0"/>
        <w:iCs w:val="0"/>
        <w:sz w:val="21"/>
        <w:szCs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
    <w:nsid w:val="657D3FBC"/>
    <w:multiLevelType w:val="multilevel"/>
    <w:tmpl w:val="657D3FBC"/>
    <w:lvl w:ilvl="0" w:tentative="0">
      <w:start w:val="1"/>
      <w:numFmt w:val="upperLetter"/>
      <w:pStyle w:val="24"/>
      <w:suff w:val="nothing"/>
      <w:lvlText w:val="附　录　%1"/>
      <w:lvlJc w:val="left"/>
      <w:rPr>
        <w:rFonts w:hint="eastAsia" w:ascii="黑体" w:hAnsi="Times New Roman" w:eastAsia="黑体" w:cs="Times New Roman"/>
        <w:b w:val="0"/>
        <w:bCs w:val="0"/>
        <w:i w:val="0"/>
        <w:iCs w:val="0"/>
        <w:spacing w:val="0"/>
        <w:w w:val="100"/>
        <w:sz w:val="21"/>
        <w:szCs w:val="21"/>
      </w:rPr>
    </w:lvl>
    <w:lvl w:ilvl="1" w:tentative="0">
      <w:start w:val="1"/>
      <w:numFmt w:val="decimal"/>
      <w:pStyle w:val="29"/>
      <w:suff w:val="nothing"/>
      <w:lvlText w:val="%1.%2　"/>
      <w:lvlJc w:val="left"/>
      <w:rPr>
        <w:rFonts w:hint="eastAsia" w:ascii="黑体" w:hAnsi="Times New Roman" w:eastAsia="黑体" w:cs="Times New Roman"/>
        <w:b w:val="0"/>
        <w:bCs w:val="0"/>
        <w:i w:val="0"/>
        <w:iCs w:val="0"/>
        <w:snapToGrid/>
        <w:spacing w:val="0"/>
        <w:w w:val="100"/>
        <w:kern w:val="21"/>
        <w:sz w:val="21"/>
        <w:szCs w:val="21"/>
      </w:rPr>
    </w:lvl>
    <w:lvl w:ilvl="2" w:tentative="0">
      <w:start w:val="1"/>
      <w:numFmt w:val="decimal"/>
      <w:pStyle w:val="30"/>
      <w:suff w:val="nothing"/>
      <w:lvlText w:val="%1.%2.%3　"/>
      <w:lvlJc w:val="left"/>
      <w:rPr>
        <w:rFonts w:hint="eastAsia" w:ascii="黑体" w:hAnsi="Times New Roman" w:eastAsia="黑体" w:cs="Times New Roman"/>
        <w:b w:val="0"/>
        <w:bCs w:val="0"/>
        <w:i w:val="0"/>
        <w:iCs w:val="0"/>
        <w:sz w:val="21"/>
        <w:szCs w:val="21"/>
      </w:rPr>
    </w:lvl>
    <w:lvl w:ilvl="3" w:tentative="0">
      <w:start w:val="1"/>
      <w:numFmt w:val="decimal"/>
      <w:pStyle w:val="25"/>
      <w:suff w:val="nothing"/>
      <w:lvlText w:val="%1.%2.%3.%4　"/>
      <w:lvlJc w:val="left"/>
      <w:rPr>
        <w:rFonts w:hint="eastAsia" w:ascii="黑体" w:hAnsi="Times New Roman" w:eastAsia="黑体" w:cs="Times New Roman"/>
        <w:b w:val="0"/>
        <w:bCs w:val="0"/>
        <w:i w:val="0"/>
        <w:iCs w:val="0"/>
        <w:sz w:val="21"/>
        <w:szCs w:val="21"/>
      </w:rPr>
    </w:lvl>
    <w:lvl w:ilvl="4" w:tentative="0">
      <w:start w:val="1"/>
      <w:numFmt w:val="decimal"/>
      <w:pStyle w:val="26"/>
      <w:suff w:val="nothing"/>
      <w:lvlText w:val="%1.%2.%3.%4.%5　"/>
      <w:lvlJc w:val="left"/>
      <w:rPr>
        <w:rFonts w:hint="eastAsia" w:ascii="黑体" w:hAnsi="Times New Roman" w:eastAsia="黑体" w:cs="Times New Roman"/>
        <w:b w:val="0"/>
        <w:bCs w:val="0"/>
        <w:i w:val="0"/>
        <w:iCs w:val="0"/>
        <w:sz w:val="21"/>
        <w:szCs w:val="21"/>
      </w:rPr>
    </w:lvl>
    <w:lvl w:ilvl="5" w:tentative="0">
      <w:start w:val="1"/>
      <w:numFmt w:val="decimal"/>
      <w:pStyle w:val="27"/>
      <w:suff w:val="nothing"/>
      <w:lvlText w:val="%1.%2.%3.%4.%5.%6　"/>
      <w:lvlJc w:val="left"/>
      <w:rPr>
        <w:rFonts w:hint="eastAsia" w:ascii="黑体" w:hAnsi="Times New Roman" w:eastAsia="黑体" w:cs="Times New Roman"/>
        <w:b w:val="0"/>
        <w:bCs w:val="0"/>
        <w:i w:val="0"/>
        <w:iCs w:val="0"/>
        <w:sz w:val="21"/>
        <w:szCs w:val="21"/>
      </w:rPr>
    </w:lvl>
    <w:lvl w:ilvl="6" w:tentative="0">
      <w:start w:val="1"/>
      <w:numFmt w:val="decimal"/>
      <w:pStyle w:val="28"/>
      <w:suff w:val="nothing"/>
      <w:lvlText w:val="%1.%2.%3.%4.%5.%6.%7　"/>
      <w:lvlJc w:val="left"/>
      <w:rPr>
        <w:rFonts w:hint="eastAsia" w:ascii="黑体" w:hAnsi="Times New Roman" w:eastAsia="黑体" w:cs="Times New Roman"/>
        <w:b w:val="0"/>
        <w:bCs w:val="0"/>
        <w:i w:val="0"/>
        <w:iCs w:val="0"/>
        <w:sz w:val="21"/>
        <w:szCs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2">
    <w:nsid w:val="6D6C07CD"/>
    <w:multiLevelType w:val="multilevel"/>
    <w:tmpl w:val="6D6C07CD"/>
    <w:lvl w:ilvl="0" w:tentative="0">
      <w:start w:val="1"/>
      <w:numFmt w:val="lowerLetter"/>
      <w:pStyle w:val="35"/>
      <w:lvlText w:val="%1)"/>
      <w:lvlJc w:val="left"/>
      <w:pPr>
        <w:tabs>
          <w:tab w:val="left" w:pos="839"/>
        </w:tabs>
        <w:ind w:left="839" w:hanging="419"/>
      </w:pPr>
      <w:rPr>
        <w:rFonts w:hint="eastAsia" w:ascii="宋体" w:eastAsia="宋体" w:cs="Times New Roman"/>
        <w:b w:val="0"/>
        <w:bCs w:val="0"/>
        <w:i w:val="0"/>
        <w:iCs w:val="0"/>
        <w:sz w:val="21"/>
        <w:szCs w:val="21"/>
      </w:rPr>
    </w:lvl>
    <w:lvl w:ilvl="1" w:tentative="0">
      <w:start w:val="1"/>
      <w:numFmt w:val="decimal"/>
      <w:pStyle w:val="34"/>
      <w:lvlText w:val="%2)"/>
      <w:lvlJc w:val="left"/>
      <w:pPr>
        <w:tabs>
          <w:tab w:val="left" w:pos="840"/>
        </w:tabs>
        <w:ind w:left="839" w:hanging="419"/>
      </w:pPr>
      <w:rPr>
        <w:rFonts w:hint="eastAsia" w:ascii="宋体" w:eastAsia="宋体" w:cs="Times New Roman"/>
        <w:b w:val="0"/>
        <w:bCs w:val="0"/>
        <w:i w:val="0"/>
        <w:iCs w:val="0"/>
        <w:sz w:val="21"/>
        <w:szCs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MzdmODY2YjkzNzY1N2E0NWVmODhmOTgzODAwNmMifQ=="/>
  </w:docVars>
  <w:rsids>
    <w:rsidRoot w:val="00C91CEC"/>
    <w:rsid w:val="00002E8A"/>
    <w:rsid w:val="00010D56"/>
    <w:rsid w:val="00011147"/>
    <w:rsid w:val="0001333A"/>
    <w:rsid w:val="0001406D"/>
    <w:rsid w:val="00014C88"/>
    <w:rsid w:val="00017D93"/>
    <w:rsid w:val="00024ED6"/>
    <w:rsid w:val="00033185"/>
    <w:rsid w:val="00033393"/>
    <w:rsid w:val="00035113"/>
    <w:rsid w:val="000372DC"/>
    <w:rsid w:val="00037FC5"/>
    <w:rsid w:val="00040ADA"/>
    <w:rsid w:val="00040B94"/>
    <w:rsid w:val="00043D8F"/>
    <w:rsid w:val="00045409"/>
    <w:rsid w:val="00046D75"/>
    <w:rsid w:val="00047FE1"/>
    <w:rsid w:val="0005014B"/>
    <w:rsid w:val="00053D9E"/>
    <w:rsid w:val="000543AD"/>
    <w:rsid w:val="00054DD1"/>
    <w:rsid w:val="00055AD1"/>
    <w:rsid w:val="0005609F"/>
    <w:rsid w:val="00056599"/>
    <w:rsid w:val="00056FF1"/>
    <w:rsid w:val="0006304D"/>
    <w:rsid w:val="00067310"/>
    <w:rsid w:val="00071966"/>
    <w:rsid w:val="00072770"/>
    <w:rsid w:val="0007301F"/>
    <w:rsid w:val="000737F8"/>
    <w:rsid w:val="00075F98"/>
    <w:rsid w:val="00077851"/>
    <w:rsid w:val="00080544"/>
    <w:rsid w:val="00080ECD"/>
    <w:rsid w:val="0008246B"/>
    <w:rsid w:val="00083771"/>
    <w:rsid w:val="00083B0E"/>
    <w:rsid w:val="0008525C"/>
    <w:rsid w:val="0008737B"/>
    <w:rsid w:val="0009128D"/>
    <w:rsid w:val="0009746A"/>
    <w:rsid w:val="000A04B2"/>
    <w:rsid w:val="000A5A64"/>
    <w:rsid w:val="000A642A"/>
    <w:rsid w:val="000B03B5"/>
    <w:rsid w:val="000B217F"/>
    <w:rsid w:val="000B2DF2"/>
    <w:rsid w:val="000B3B5A"/>
    <w:rsid w:val="000C2A94"/>
    <w:rsid w:val="000C4653"/>
    <w:rsid w:val="000D1167"/>
    <w:rsid w:val="000D360A"/>
    <w:rsid w:val="000D3FDD"/>
    <w:rsid w:val="000D43FD"/>
    <w:rsid w:val="000D4C74"/>
    <w:rsid w:val="000D4FA0"/>
    <w:rsid w:val="000E03A5"/>
    <w:rsid w:val="000E1D2A"/>
    <w:rsid w:val="000F08B5"/>
    <w:rsid w:val="000F1479"/>
    <w:rsid w:val="000F1801"/>
    <w:rsid w:val="00104CB3"/>
    <w:rsid w:val="00106B9A"/>
    <w:rsid w:val="00106F5D"/>
    <w:rsid w:val="0010714D"/>
    <w:rsid w:val="0011453F"/>
    <w:rsid w:val="00117446"/>
    <w:rsid w:val="00125199"/>
    <w:rsid w:val="00125A92"/>
    <w:rsid w:val="0012626B"/>
    <w:rsid w:val="0013066E"/>
    <w:rsid w:val="00131B56"/>
    <w:rsid w:val="001377FE"/>
    <w:rsid w:val="00141086"/>
    <w:rsid w:val="00141831"/>
    <w:rsid w:val="001435EC"/>
    <w:rsid w:val="001508A5"/>
    <w:rsid w:val="00154FE6"/>
    <w:rsid w:val="001552AD"/>
    <w:rsid w:val="00156C89"/>
    <w:rsid w:val="00160493"/>
    <w:rsid w:val="0016175F"/>
    <w:rsid w:val="001657F3"/>
    <w:rsid w:val="00165C1D"/>
    <w:rsid w:val="00167C5C"/>
    <w:rsid w:val="00180931"/>
    <w:rsid w:val="00181ACC"/>
    <w:rsid w:val="00184FE2"/>
    <w:rsid w:val="001921D3"/>
    <w:rsid w:val="0019313C"/>
    <w:rsid w:val="00194463"/>
    <w:rsid w:val="00194E4C"/>
    <w:rsid w:val="00196823"/>
    <w:rsid w:val="001A133A"/>
    <w:rsid w:val="001A2C1F"/>
    <w:rsid w:val="001A3673"/>
    <w:rsid w:val="001A65DD"/>
    <w:rsid w:val="001B14B7"/>
    <w:rsid w:val="001B37A0"/>
    <w:rsid w:val="001B3CA7"/>
    <w:rsid w:val="001C0B21"/>
    <w:rsid w:val="001C5CDB"/>
    <w:rsid w:val="001C6A1C"/>
    <w:rsid w:val="001D0156"/>
    <w:rsid w:val="001D4C1B"/>
    <w:rsid w:val="001D57F9"/>
    <w:rsid w:val="001D68FA"/>
    <w:rsid w:val="001E0037"/>
    <w:rsid w:val="001E1EF9"/>
    <w:rsid w:val="001E2DA4"/>
    <w:rsid w:val="001E41A2"/>
    <w:rsid w:val="001E4BCE"/>
    <w:rsid w:val="001E65ED"/>
    <w:rsid w:val="001F2483"/>
    <w:rsid w:val="001F2DC3"/>
    <w:rsid w:val="001F3D0C"/>
    <w:rsid w:val="001F6462"/>
    <w:rsid w:val="002004C2"/>
    <w:rsid w:val="00203D76"/>
    <w:rsid w:val="00204CE9"/>
    <w:rsid w:val="00205850"/>
    <w:rsid w:val="002129ED"/>
    <w:rsid w:val="00216C76"/>
    <w:rsid w:val="00216EC4"/>
    <w:rsid w:val="00217D70"/>
    <w:rsid w:val="002212BA"/>
    <w:rsid w:val="00222012"/>
    <w:rsid w:val="00222AAD"/>
    <w:rsid w:val="00223C0F"/>
    <w:rsid w:val="00223D3C"/>
    <w:rsid w:val="002243AC"/>
    <w:rsid w:val="002250BD"/>
    <w:rsid w:val="00226560"/>
    <w:rsid w:val="00231B31"/>
    <w:rsid w:val="002348B4"/>
    <w:rsid w:val="00244A61"/>
    <w:rsid w:val="00244F06"/>
    <w:rsid w:val="00250E1C"/>
    <w:rsid w:val="00252615"/>
    <w:rsid w:val="00255953"/>
    <w:rsid w:val="0026086D"/>
    <w:rsid w:val="00261428"/>
    <w:rsid w:val="002617D4"/>
    <w:rsid w:val="00262D86"/>
    <w:rsid w:val="00267FA7"/>
    <w:rsid w:val="00273A0D"/>
    <w:rsid w:val="00273C12"/>
    <w:rsid w:val="00273D51"/>
    <w:rsid w:val="002741BA"/>
    <w:rsid w:val="00275B85"/>
    <w:rsid w:val="002772B4"/>
    <w:rsid w:val="00290484"/>
    <w:rsid w:val="002906F0"/>
    <w:rsid w:val="00290A1D"/>
    <w:rsid w:val="002912ED"/>
    <w:rsid w:val="00294F0E"/>
    <w:rsid w:val="00296115"/>
    <w:rsid w:val="002977AD"/>
    <w:rsid w:val="002A021B"/>
    <w:rsid w:val="002A29AF"/>
    <w:rsid w:val="002A50A9"/>
    <w:rsid w:val="002A566F"/>
    <w:rsid w:val="002B0E25"/>
    <w:rsid w:val="002B1046"/>
    <w:rsid w:val="002B4542"/>
    <w:rsid w:val="002B7C96"/>
    <w:rsid w:val="002C2C45"/>
    <w:rsid w:val="002C4E91"/>
    <w:rsid w:val="002C76E9"/>
    <w:rsid w:val="002D193C"/>
    <w:rsid w:val="002D3048"/>
    <w:rsid w:val="002D568C"/>
    <w:rsid w:val="002D5F80"/>
    <w:rsid w:val="002E3263"/>
    <w:rsid w:val="002E5885"/>
    <w:rsid w:val="002F1BF8"/>
    <w:rsid w:val="002F3790"/>
    <w:rsid w:val="002F796F"/>
    <w:rsid w:val="00302CD1"/>
    <w:rsid w:val="0030600E"/>
    <w:rsid w:val="00312E57"/>
    <w:rsid w:val="00312F8A"/>
    <w:rsid w:val="0031466E"/>
    <w:rsid w:val="00316194"/>
    <w:rsid w:val="003172B6"/>
    <w:rsid w:val="003217F8"/>
    <w:rsid w:val="00325897"/>
    <w:rsid w:val="00326C31"/>
    <w:rsid w:val="00327325"/>
    <w:rsid w:val="00330B94"/>
    <w:rsid w:val="00331647"/>
    <w:rsid w:val="00333F22"/>
    <w:rsid w:val="00335BDE"/>
    <w:rsid w:val="00335E29"/>
    <w:rsid w:val="00337338"/>
    <w:rsid w:val="00344AC4"/>
    <w:rsid w:val="003475C4"/>
    <w:rsid w:val="00351B1F"/>
    <w:rsid w:val="003523F9"/>
    <w:rsid w:val="0035374D"/>
    <w:rsid w:val="00356F94"/>
    <w:rsid w:val="00361B26"/>
    <w:rsid w:val="00371102"/>
    <w:rsid w:val="00372444"/>
    <w:rsid w:val="003724B3"/>
    <w:rsid w:val="003745E7"/>
    <w:rsid w:val="00374E6C"/>
    <w:rsid w:val="003750A3"/>
    <w:rsid w:val="0037737C"/>
    <w:rsid w:val="00377AFD"/>
    <w:rsid w:val="0038112F"/>
    <w:rsid w:val="00381B41"/>
    <w:rsid w:val="00381D10"/>
    <w:rsid w:val="00383B47"/>
    <w:rsid w:val="00387F34"/>
    <w:rsid w:val="0039085B"/>
    <w:rsid w:val="00395080"/>
    <w:rsid w:val="00395951"/>
    <w:rsid w:val="00396437"/>
    <w:rsid w:val="00397652"/>
    <w:rsid w:val="003A1584"/>
    <w:rsid w:val="003A270B"/>
    <w:rsid w:val="003A34B5"/>
    <w:rsid w:val="003B07B5"/>
    <w:rsid w:val="003B0FD1"/>
    <w:rsid w:val="003B3BA7"/>
    <w:rsid w:val="003B7745"/>
    <w:rsid w:val="003C2705"/>
    <w:rsid w:val="003C563E"/>
    <w:rsid w:val="003D5393"/>
    <w:rsid w:val="003D6DD8"/>
    <w:rsid w:val="003D70F6"/>
    <w:rsid w:val="003E0D37"/>
    <w:rsid w:val="003E2591"/>
    <w:rsid w:val="003E5552"/>
    <w:rsid w:val="003E5640"/>
    <w:rsid w:val="003F1254"/>
    <w:rsid w:val="003F444D"/>
    <w:rsid w:val="003F6571"/>
    <w:rsid w:val="003F66CF"/>
    <w:rsid w:val="00400504"/>
    <w:rsid w:val="00401B4E"/>
    <w:rsid w:val="004072A1"/>
    <w:rsid w:val="00410BC3"/>
    <w:rsid w:val="004128A6"/>
    <w:rsid w:val="00412C93"/>
    <w:rsid w:val="00413FB4"/>
    <w:rsid w:val="004218A2"/>
    <w:rsid w:val="004270C3"/>
    <w:rsid w:val="00427601"/>
    <w:rsid w:val="00433F27"/>
    <w:rsid w:val="00435DB1"/>
    <w:rsid w:val="00436107"/>
    <w:rsid w:val="00440C91"/>
    <w:rsid w:val="004432D4"/>
    <w:rsid w:val="00447780"/>
    <w:rsid w:val="00447B42"/>
    <w:rsid w:val="0045773A"/>
    <w:rsid w:val="00464D5C"/>
    <w:rsid w:val="00474470"/>
    <w:rsid w:val="00484B49"/>
    <w:rsid w:val="004879CA"/>
    <w:rsid w:val="00493F40"/>
    <w:rsid w:val="004960EB"/>
    <w:rsid w:val="004A066C"/>
    <w:rsid w:val="004A23C7"/>
    <w:rsid w:val="004A3A81"/>
    <w:rsid w:val="004A68EF"/>
    <w:rsid w:val="004B0F47"/>
    <w:rsid w:val="004B1BB1"/>
    <w:rsid w:val="004B5370"/>
    <w:rsid w:val="004B590E"/>
    <w:rsid w:val="004B7DC8"/>
    <w:rsid w:val="004C118A"/>
    <w:rsid w:val="004C4389"/>
    <w:rsid w:val="004C6C4A"/>
    <w:rsid w:val="004D1508"/>
    <w:rsid w:val="004D3A18"/>
    <w:rsid w:val="004D626C"/>
    <w:rsid w:val="004E0749"/>
    <w:rsid w:val="004E0869"/>
    <w:rsid w:val="004E21B2"/>
    <w:rsid w:val="004E3319"/>
    <w:rsid w:val="004E7EC3"/>
    <w:rsid w:val="004F027C"/>
    <w:rsid w:val="004F1003"/>
    <w:rsid w:val="004F2FD1"/>
    <w:rsid w:val="004F6B48"/>
    <w:rsid w:val="004F746A"/>
    <w:rsid w:val="005049A3"/>
    <w:rsid w:val="005069E6"/>
    <w:rsid w:val="00511CF8"/>
    <w:rsid w:val="005131B2"/>
    <w:rsid w:val="005167BE"/>
    <w:rsid w:val="00517F4D"/>
    <w:rsid w:val="005202B1"/>
    <w:rsid w:val="00521012"/>
    <w:rsid w:val="00521C9B"/>
    <w:rsid w:val="00523A3C"/>
    <w:rsid w:val="00525049"/>
    <w:rsid w:val="00525935"/>
    <w:rsid w:val="00526D4D"/>
    <w:rsid w:val="00526DFD"/>
    <w:rsid w:val="0052770E"/>
    <w:rsid w:val="00527957"/>
    <w:rsid w:val="00536C1A"/>
    <w:rsid w:val="00537B86"/>
    <w:rsid w:val="0054033D"/>
    <w:rsid w:val="00542B1C"/>
    <w:rsid w:val="00550C2F"/>
    <w:rsid w:val="0055405D"/>
    <w:rsid w:val="00557083"/>
    <w:rsid w:val="0055753B"/>
    <w:rsid w:val="005628E3"/>
    <w:rsid w:val="00563F1F"/>
    <w:rsid w:val="00567C32"/>
    <w:rsid w:val="005700FE"/>
    <w:rsid w:val="00571000"/>
    <w:rsid w:val="00572E9B"/>
    <w:rsid w:val="00573ACF"/>
    <w:rsid w:val="00575002"/>
    <w:rsid w:val="005767F0"/>
    <w:rsid w:val="00577250"/>
    <w:rsid w:val="0058057F"/>
    <w:rsid w:val="0058190F"/>
    <w:rsid w:val="005936BA"/>
    <w:rsid w:val="00595C0D"/>
    <w:rsid w:val="00596C55"/>
    <w:rsid w:val="00597062"/>
    <w:rsid w:val="00597747"/>
    <w:rsid w:val="005A2767"/>
    <w:rsid w:val="005B243E"/>
    <w:rsid w:val="005B682F"/>
    <w:rsid w:val="005C1B68"/>
    <w:rsid w:val="005C3780"/>
    <w:rsid w:val="005C48C6"/>
    <w:rsid w:val="005C56A9"/>
    <w:rsid w:val="005C736A"/>
    <w:rsid w:val="005C7D0B"/>
    <w:rsid w:val="005D1AEE"/>
    <w:rsid w:val="005D3124"/>
    <w:rsid w:val="005D40DE"/>
    <w:rsid w:val="005D5DF9"/>
    <w:rsid w:val="005D6397"/>
    <w:rsid w:val="005D721E"/>
    <w:rsid w:val="005D7511"/>
    <w:rsid w:val="005E1C6C"/>
    <w:rsid w:val="005E3F07"/>
    <w:rsid w:val="005F0E6A"/>
    <w:rsid w:val="005F12DD"/>
    <w:rsid w:val="005F532A"/>
    <w:rsid w:val="005F6A4D"/>
    <w:rsid w:val="00600096"/>
    <w:rsid w:val="00600561"/>
    <w:rsid w:val="00605C1B"/>
    <w:rsid w:val="006068F1"/>
    <w:rsid w:val="00610149"/>
    <w:rsid w:val="00611666"/>
    <w:rsid w:val="006141B8"/>
    <w:rsid w:val="00620038"/>
    <w:rsid w:val="00623D81"/>
    <w:rsid w:val="006253E3"/>
    <w:rsid w:val="00625825"/>
    <w:rsid w:val="00625D21"/>
    <w:rsid w:val="00632838"/>
    <w:rsid w:val="00633A85"/>
    <w:rsid w:val="00634178"/>
    <w:rsid w:val="00634EC8"/>
    <w:rsid w:val="006426AD"/>
    <w:rsid w:val="006435FA"/>
    <w:rsid w:val="00645C9F"/>
    <w:rsid w:val="00646332"/>
    <w:rsid w:val="006468FA"/>
    <w:rsid w:val="00647AD7"/>
    <w:rsid w:val="00653D47"/>
    <w:rsid w:val="00654F6E"/>
    <w:rsid w:val="00657269"/>
    <w:rsid w:val="00657E0A"/>
    <w:rsid w:val="00662921"/>
    <w:rsid w:val="00663F47"/>
    <w:rsid w:val="006644D0"/>
    <w:rsid w:val="00664E27"/>
    <w:rsid w:val="00667269"/>
    <w:rsid w:val="006704B6"/>
    <w:rsid w:val="006733D1"/>
    <w:rsid w:val="00676091"/>
    <w:rsid w:val="00677CCC"/>
    <w:rsid w:val="006816B6"/>
    <w:rsid w:val="006829F0"/>
    <w:rsid w:val="006871E9"/>
    <w:rsid w:val="00692F76"/>
    <w:rsid w:val="006930FE"/>
    <w:rsid w:val="00694DBB"/>
    <w:rsid w:val="00697DE3"/>
    <w:rsid w:val="006A043B"/>
    <w:rsid w:val="006A2A72"/>
    <w:rsid w:val="006A52F0"/>
    <w:rsid w:val="006B78FE"/>
    <w:rsid w:val="006C0AAC"/>
    <w:rsid w:val="006C321F"/>
    <w:rsid w:val="006C3707"/>
    <w:rsid w:val="006D03A4"/>
    <w:rsid w:val="006D5EA0"/>
    <w:rsid w:val="006D62B4"/>
    <w:rsid w:val="006E1819"/>
    <w:rsid w:val="006E2371"/>
    <w:rsid w:val="006E6639"/>
    <w:rsid w:val="006F1744"/>
    <w:rsid w:val="006F331B"/>
    <w:rsid w:val="006F40C5"/>
    <w:rsid w:val="006F4670"/>
    <w:rsid w:val="006F6C66"/>
    <w:rsid w:val="00701681"/>
    <w:rsid w:val="00701E7B"/>
    <w:rsid w:val="007023C2"/>
    <w:rsid w:val="00702C21"/>
    <w:rsid w:val="00702DFF"/>
    <w:rsid w:val="007038B7"/>
    <w:rsid w:val="00705C47"/>
    <w:rsid w:val="00706648"/>
    <w:rsid w:val="00706C71"/>
    <w:rsid w:val="007125BA"/>
    <w:rsid w:val="00712C8B"/>
    <w:rsid w:val="007172B1"/>
    <w:rsid w:val="00723266"/>
    <w:rsid w:val="00724616"/>
    <w:rsid w:val="007275BF"/>
    <w:rsid w:val="007279D1"/>
    <w:rsid w:val="00731172"/>
    <w:rsid w:val="00731C57"/>
    <w:rsid w:val="0073267B"/>
    <w:rsid w:val="007342DA"/>
    <w:rsid w:val="00734C89"/>
    <w:rsid w:val="00735C50"/>
    <w:rsid w:val="00742B28"/>
    <w:rsid w:val="0074311C"/>
    <w:rsid w:val="007440CD"/>
    <w:rsid w:val="00745A7E"/>
    <w:rsid w:val="00751133"/>
    <w:rsid w:val="0075258F"/>
    <w:rsid w:val="007527DD"/>
    <w:rsid w:val="007563E1"/>
    <w:rsid w:val="007575E7"/>
    <w:rsid w:val="00760C9B"/>
    <w:rsid w:val="00761B16"/>
    <w:rsid w:val="00763E92"/>
    <w:rsid w:val="007650F0"/>
    <w:rsid w:val="00773663"/>
    <w:rsid w:val="007741DD"/>
    <w:rsid w:val="0077465C"/>
    <w:rsid w:val="00777617"/>
    <w:rsid w:val="00781263"/>
    <w:rsid w:val="007858FE"/>
    <w:rsid w:val="00792A07"/>
    <w:rsid w:val="007952EE"/>
    <w:rsid w:val="007A41F9"/>
    <w:rsid w:val="007A4C0A"/>
    <w:rsid w:val="007A4DA4"/>
    <w:rsid w:val="007A7D1E"/>
    <w:rsid w:val="007B0C79"/>
    <w:rsid w:val="007B0F70"/>
    <w:rsid w:val="007B1F9E"/>
    <w:rsid w:val="007B2030"/>
    <w:rsid w:val="007B4542"/>
    <w:rsid w:val="007C2BEA"/>
    <w:rsid w:val="007C3C28"/>
    <w:rsid w:val="007C4CD1"/>
    <w:rsid w:val="007D03EA"/>
    <w:rsid w:val="007D053F"/>
    <w:rsid w:val="007E231C"/>
    <w:rsid w:val="007E4B60"/>
    <w:rsid w:val="007E5434"/>
    <w:rsid w:val="007F2DAE"/>
    <w:rsid w:val="007F4FDA"/>
    <w:rsid w:val="007F7AAA"/>
    <w:rsid w:val="00810D9D"/>
    <w:rsid w:val="00812304"/>
    <w:rsid w:val="00812390"/>
    <w:rsid w:val="008157A3"/>
    <w:rsid w:val="00815B07"/>
    <w:rsid w:val="00821D2C"/>
    <w:rsid w:val="008220A4"/>
    <w:rsid w:val="008220ED"/>
    <w:rsid w:val="008233D0"/>
    <w:rsid w:val="0082454A"/>
    <w:rsid w:val="00824633"/>
    <w:rsid w:val="00825F22"/>
    <w:rsid w:val="00827523"/>
    <w:rsid w:val="00834C93"/>
    <w:rsid w:val="00834CAD"/>
    <w:rsid w:val="00835222"/>
    <w:rsid w:val="0083659A"/>
    <w:rsid w:val="0083783A"/>
    <w:rsid w:val="00837DC8"/>
    <w:rsid w:val="00840D9D"/>
    <w:rsid w:val="00842C6A"/>
    <w:rsid w:val="00843F1F"/>
    <w:rsid w:val="0084518C"/>
    <w:rsid w:val="00846A43"/>
    <w:rsid w:val="00851DAD"/>
    <w:rsid w:val="00851F61"/>
    <w:rsid w:val="00853F39"/>
    <w:rsid w:val="008545FC"/>
    <w:rsid w:val="00861152"/>
    <w:rsid w:val="00865354"/>
    <w:rsid w:val="008679EA"/>
    <w:rsid w:val="00872FF1"/>
    <w:rsid w:val="00873D2C"/>
    <w:rsid w:val="00875992"/>
    <w:rsid w:val="0087740D"/>
    <w:rsid w:val="00877BF9"/>
    <w:rsid w:val="008838A6"/>
    <w:rsid w:val="00883DB5"/>
    <w:rsid w:val="00884FE4"/>
    <w:rsid w:val="00885A16"/>
    <w:rsid w:val="00894B32"/>
    <w:rsid w:val="00897914"/>
    <w:rsid w:val="008A0D9C"/>
    <w:rsid w:val="008A235F"/>
    <w:rsid w:val="008B1B8C"/>
    <w:rsid w:val="008B2931"/>
    <w:rsid w:val="008B3D1F"/>
    <w:rsid w:val="008C06DB"/>
    <w:rsid w:val="008C1D1C"/>
    <w:rsid w:val="008C2323"/>
    <w:rsid w:val="008C430A"/>
    <w:rsid w:val="008D148D"/>
    <w:rsid w:val="008D301E"/>
    <w:rsid w:val="008D3CDC"/>
    <w:rsid w:val="008D53A2"/>
    <w:rsid w:val="008E4ADC"/>
    <w:rsid w:val="008E59E5"/>
    <w:rsid w:val="008E68AA"/>
    <w:rsid w:val="008F3DF9"/>
    <w:rsid w:val="008F5ED3"/>
    <w:rsid w:val="008F7241"/>
    <w:rsid w:val="009015CA"/>
    <w:rsid w:val="0090454E"/>
    <w:rsid w:val="009047B4"/>
    <w:rsid w:val="009048A5"/>
    <w:rsid w:val="00905196"/>
    <w:rsid w:val="00910817"/>
    <w:rsid w:val="00910ED2"/>
    <w:rsid w:val="0091427E"/>
    <w:rsid w:val="00915530"/>
    <w:rsid w:val="00922686"/>
    <w:rsid w:val="00922C23"/>
    <w:rsid w:val="009233F6"/>
    <w:rsid w:val="009326FD"/>
    <w:rsid w:val="009426E8"/>
    <w:rsid w:val="00943240"/>
    <w:rsid w:val="0095266D"/>
    <w:rsid w:val="00970F09"/>
    <w:rsid w:val="009722B7"/>
    <w:rsid w:val="009744DE"/>
    <w:rsid w:val="00974EDC"/>
    <w:rsid w:val="00980EA2"/>
    <w:rsid w:val="00981DD3"/>
    <w:rsid w:val="00983153"/>
    <w:rsid w:val="00984D75"/>
    <w:rsid w:val="00985187"/>
    <w:rsid w:val="00993457"/>
    <w:rsid w:val="00994F45"/>
    <w:rsid w:val="00996993"/>
    <w:rsid w:val="00997806"/>
    <w:rsid w:val="009A0F3B"/>
    <w:rsid w:val="009A1A93"/>
    <w:rsid w:val="009B1A6F"/>
    <w:rsid w:val="009B33D5"/>
    <w:rsid w:val="009B7DC9"/>
    <w:rsid w:val="009C06B8"/>
    <w:rsid w:val="009C27C4"/>
    <w:rsid w:val="009C3F36"/>
    <w:rsid w:val="009C5AB1"/>
    <w:rsid w:val="009C60A1"/>
    <w:rsid w:val="009C6BF9"/>
    <w:rsid w:val="009C7E9D"/>
    <w:rsid w:val="009D1ADE"/>
    <w:rsid w:val="009D2178"/>
    <w:rsid w:val="009D4AB5"/>
    <w:rsid w:val="009D6FF4"/>
    <w:rsid w:val="009E1D87"/>
    <w:rsid w:val="009E2A53"/>
    <w:rsid w:val="009E387B"/>
    <w:rsid w:val="009E4417"/>
    <w:rsid w:val="009E6636"/>
    <w:rsid w:val="009F1493"/>
    <w:rsid w:val="009F6A1D"/>
    <w:rsid w:val="00A03557"/>
    <w:rsid w:val="00A048BF"/>
    <w:rsid w:val="00A06858"/>
    <w:rsid w:val="00A07B93"/>
    <w:rsid w:val="00A11002"/>
    <w:rsid w:val="00A15177"/>
    <w:rsid w:val="00A16917"/>
    <w:rsid w:val="00A20142"/>
    <w:rsid w:val="00A204FB"/>
    <w:rsid w:val="00A206FC"/>
    <w:rsid w:val="00A23884"/>
    <w:rsid w:val="00A23BD7"/>
    <w:rsid w:val="00A30145"/>
    <w:rsid w:val="00A315F3"/>
    <w:rsid w:val="00A3273E"/>
    <w:rsid w:val="00A333A7"/>
    <w:rsid w:val="00A372CE"/>
    <w:rsid w:val="00A376C0"/>
    <w:rsid w:val="00A403DD"/>
    <w:rsid w:val="00A417BA"/>
    <w:rsid w:val="00A425F5"/>
    <w:rsid w:val="00A436DB"/>
    <w:rsid w:val="00A4698F"/>
    <w:rsid w:val="00A475A2"/>
    <w:rsid w:val="00A522AB"/>
    <w:rsid w:val="00A55348"/>
    <w:rsid w:val="00A565DC"/>
    <w:rsid w:val="00A60A94"/>
    <w:rsid w:val="00A61525"/>
    <w:rsid w:val="00A62D71"/>
    <w:rsid w:val="00A63BB5"/>
    <w:rsid w:val="00A87E87"/>
    <w:rsid w:val="00A92A27"/>
    <w:rsid w:val="00A959AA"/>
    <w:rsid w:val="00A9637A"/>
    <w:rsid w:val="00A968BE"/>
    <w:rsid w:val="00AA07DD"/>
    <w:rsid w:val="00AB2617"/>
    <w:rsid w:val="00AB314C"/>
    <w:rsid w:val="00AB55EB"/>
    <w:rsid w:val="00AB6453"/>
    <w:rsid w:val="00AB712F"/>
    <w:rsid w:val="00AC0DAA"/>
    <w:rsid w:val="00AC2569"/>
    <w:rsid w:val="00AC3D30"/>
    <w:rsid w:val="00AC7D8C"/>
    <w:rsid w:val="00AD16E4"/>
    <w:rsid w:val="00AD1D46"/>
    <w:rsid w:val="00AD2403"/>
    <w:rsid w:val="00AD4696"/>
    <w:rsid w:val="00AD6005"/>
    <w:rsid w:val="00AE10F5"/>
    <w:rsid w:val="00AE281D"/>
    <w:rsid w:val="00AE2A61"/>
    <w:rsid w:val="00AE41E8"/>
    <w:rsid w:val="00AE7049"/>
    <w:rsid w:val="00AF241A"/>
    <w:rsid w:val="00AF279A"/>
    <w:rsid w:val="00AF3331"/>
    <w:rsid w:val="00AF399D"/>
    <w:rsid w:val="00AF451B"/>
    <w:rsid w:val="00AF5982"/>
    <w:rsid w:val="00B030B1"/>
    <w:rsid w:val="00B11526"/>
    <w:rsid w:val="00B1504C"/>
    <w:rsid w:val="00B154A8"/>
    <w:rsid w:val="00B1580D"/>
    <w:rsid w:val="00B1583B"/>
    <w:rsid w:val="00B15C21"/>
    <w:rsid w:val="00B16322"/>
    <w:rsid w:val="00B1678D"/>
    <w:rsid w:val="00B16B70"/>
    <w:rsid w:val="00B20E6B"/>
    <w:rsid w:val="00B20ED0"/>
    <w:rsid w:val="00B24002"/>
    <w:rsid w:val="00B24405"/>
    <w:rsid w:val="00B3014C"/>
    <w:rsid w:val="00B33700"/>
    <w:rsid w:val="00B377BA"/>
    <w:rsid w:val="00B41228"/>
    <w:rsid w:val="00B43BAD"/>
    <w:rsid w:val="00B44656"/>
    <w:rsid w:val="00B46095"/>
    <w:rsid w:val="00B62FE2"/>
    <w:rsid w:val="00B659C5"/>
    <w:rsid w:val="00B6753F"/>
    <w:rsid w:val="00B70AD9"/>
    <w:rsid w:val="00B70C6C"/>
    <w:rsid w:val="00B721B0"/>
    <w:rsid w:val="00B74AE3"/>
    <w:rsid w:val="00B75880"/>
    <w:rsid w:val="00B85354"/>
    <w:rsid w:val="00B855CC"/>
    <w:rsid w:val="00B8729B"/>
    <w:rsid w:val="00B87B3A"/>
    <w:rsid w:val="00B93A9C"/>
    <w:rsid w:val="00B94664"/>
    <w:rsid w:val="00BA3F50"/>
    <w:rsid w:val="00BA4163"/>
    <w:rsid w:val="00BA7458"/>
    <w:rsid w:val="00BA79E0"/>
    <w:rsid w:val="00BB0EB6"/>
    <w:rsid w:val="00BB3C73"/>
    <w:rsid w:val="00BB5B88"/>
    <w:rsid w:val="00BB759D"/>
    <w:rsid w:val="00BC1B51"/>
    <w:rsid w:val="00BC480B"/>
    <w:rsid w:val="00BC50F4"/>
    <w:rsid w:val="00BC79B4"/>
    <w:rsid w:val="00BD2A30"/>
    <w:rsid w:val="00BE2575"/>
    <w:rsid w:val="00BE5359"/>
    <w:rsid w:val="00BF16F7"/>
    <w:rsid w:val="00BF6832"/>
    <w:rsid w:val="00C0172F"/>
    <w:rsid w:val="00C01A0D"/>
    <w:rsid w:val="00C04413"/>
    <w:rsid w:val="00C04959"/>
    <w:rsid w:val="00C0639E"/>
    <w:rsid w:val="00C0650B"/>
    <w:rsid w:val="00C1458B"/>
    <w:rsid w:val="00C20051"/>
    <w:rsid w:val="00C209C1"/>
    <w:rsid w:val="00C26A98"/>
    <w:rsid w:val="00C31754"/>
    <w:rsid w:val="00C348EF"/>
    <w:rsid w:val="00C3760C"/>
    <w:rsid w:val="00C40471"/>
    <w:rsid w:val="00C4135C"/>
    <w:rsid w:val="00C4506E"/>
    <w:rsid w:val="00C458F2"/>
    <w:rsid w:val="00C47F2A"/>
    <w:rsid w:val="00C501AE"/>
    <w:rsid w:val="00C51AD3"/>
    <w:rsid w:val="00C51FEB"/>
    <w:rsid w:val="00C537AF"/>
    <w:rsid w:val="00C548F8"/>
    <w:rsid w:val="00C54F09"/>
    <w:rsid w:val="00C629E4"/>
    <w:rsid w:val="00C63A80"/>
    <w:rsid w:val="00C664B4"/>
    <w:rsid w:val="00C713DC"/>
    <w:rsid w:val="00C71A09"/>
    <w:rsid w:val="00C71A3B"/>
    <w:rsid w:val="00C751EC"/>
    <w:rsid w:val="00C84597"/>
    <w:rsid w:val="00C85799"/>
    <w:rsid w:val="00C865C9"/>
    <w:rsid w:val="00C91C21"/>
    <w:rsid w:val="00C91CEC"/>
    <w:rsid w:val="00C92FC2"/>
    <w:rsid w:val="00C93205"/>
    <w:rsid w:val="00CA0750"/>
    <w:rsid w:val="00CA0992"/>
    <w:rsid w:val="00CA1387"/>
    <w:rsid w:val="00CA27C7"/>
    <w:rsid w:val="00CA3079"/>
    <w:rsid w:val="00CA31C5"/>
    <w:rsid w:val="00CA3F77"/>
    <w:rsid w:val="00CA6DFB"/>
    <w:rsid w:val="00CB2FEC"/>
    <w:rsid w:val="00CB344C"/>
    <w:rsid w:val="00CB49DE"/>
    <w:rsid w:val="00CB59B5"/>
    <w:rsid w:val="00CC3C31"/>
    <w:rsid w:val="00CC45DC"/>
    <w:rsid w:val="00CC77FF"/>
    <w:rsid w:val="00CD4565"/>
    <w:rsid w:val="00CD4589"/>
    <w:rsid w:val="00CD6819"/>
    <w:rsid w:val="00CE0748"/>
    <w:rsid w:val="00CE12DA"/>
    <w:rsid w:val="00CE2F26"/>
    <w:rsid w:val="00CE2FA3"/>
    <w:rsid w:val="00CE47D5"/>
    <w:rsid w:val="00CF0CDA"/>
    <w:rsid w:val="00CF36B4"/>
    <w:rsid w:val="00CF4DB0"/>
    <w:rsid w:val="00CF4E67"/>
    <w:rsid w:val="00D01FC7"/>
    <w:rsid w:val="00D0320D"/>
    <w:rsid w:val="00D1460D"/>
    <w:rsid w:val="00D14CBE"/>
    <w:rsid w:val="00D14D01"/>
    <w:rsid w:val="00D175B2"/>
    <w:rsid w:val="00D17D6A"/>
    <w:rsid w:val="00D22B41"/>
    <w:rsid w:val="00D349F2"/>
    <w:rsid w:val="00D353F4"/>
    <w:rsid w:val="00D361DC"/>
    <w:rsid w:val="00D378FD"/>
    <w:rsid w:val="00D43FD3"/>
    <w:rsid w:val="00D44B2E"/>
    <w:rsid w:val="00D47861"/>
    <w:rsid w:val="00D50A25"/>
    <w:rsid w:val="00D56A27"/>
    <w:rsid w:val="00D57DC0"/>
    <w:rsid w:val="00D622BF"/>
    <w:rsid w:val="00D62A75"/>
    <w:rsid w:val="00D63159"/>
    <w:rsid w:val="00D63DCB"/>
    <w:rsid w:val="00D71196"/>
    <w:rsid w:val="00D71DA9"/>
    <w:rsid w:val="00D7352B"/>
    <w:rsid w:val="00D73BCD"/>
    <w:rsid w:val="00D76EDA"/>
    <w:rsid w:val="00D80ECA"/>
    <w:rsid w:val="00D81B31"/>
    <w:rsid w:val="00D8589D"/>
    <w:rsid w:val="00D86638"/>
    <w:rsid w:val="00D8721D"/>
    <w:rsid w:val="00D92E20"/>
    <w:rsid w:val="00D96EF5"/>
    <w:rsid w:val="00DA0BC3"/>
    <w:rsid w:val="00DB0691"/>
    <w:rsid w:val="00DB1673"/>
    <w:rsid w:val="00DB39C3"/>
    <w:rsid w:val="00DB4542"/>
    <w:rsid w:val="00DB50DC"/>
    <w:rsid w:val="00DC3105"/>
    <w:rsid w:val="00DC557E"/>
    <w:rsid w:val="00DC637B"/>
    <w:rsid w:val="00DD253A"/>
    <w:rsid w:val="00DD2ED5"/>
    <w:rsid w:val="00DD3A51"/>
    <w:rsid w:val="00DD4C2D"/>
    <w:rsid w:val="00DD78FD"/>
    <w:rsid w:val="00DE1852"/>
    <w:rsid w:val="00DE3FB8"/>
    <w:rsid w:val="00DE46DB"/>
    <w:rsid w:val="00DE64B7"/>
    <w:rsid w:val="00DF15B0"/>
    <w:rsid w:val="00DF32AA"/>
    <w:rsid w:val="00DF447B"/>
    <w:rsid w:val="00DF7848"/>
    <w:rsid w:val="00E00000"/>
    <w:rsid w:val="00E00A01"/>
    <w:rsid w:val="00E00AC9"/>
    <w:rsid w:val="00E0126E"/>
    <w:rsid w:val="00E05B16"/>
    <w:rsid w:val="00E1153B"/>
    <w:rsid w:val="00E1619B"/>
    <w:rsid w:val="00E20D1E"/>
    <w:rsid w:val="00E30036"/>
    <w:rsid w:val="00E3118A"/>
    <w:rsid w:val="00E3153C"/>
    <w:rsid w:val="00E3183C"/>
    <w:rsid w:val="00E34CC2"/>
    <w:rsid w:val="00E3553E"/>
    <w:rsid w:val="00E36110"/>
    <w:rsid w:val="00E3677A"/>
    <w:rsid w:val="00E3693A"/>
    <w:rsid w:val="00E40814"/>
    <w:rsid w:val="00E47CB9"/>
    <w:rsid w:val="00E52F94"/>
    <w:rsid w:val="00E60FCE"/>
    <w:rsid w:val="00E61A46"/>
    <w:rsid w:val="00E62F3F"/>
    <w:rsid w:val="00E67D49"/>
    <w:rsid w:val="00E74762"/>
    <w:rsid w:val="00E749BD"/>
    <w:rsid w:val="00E74C25"/>
    <w:rsid w:val="00E80FDC"/>
    <w:rsid w:val="00E86ACE"/>
    <w:rsid w:val="00E86E03"/>
    <w:rsid w:val="00E87964"/>
    <w:rsid w:val="00E90DCF"/>
    <w:rsid w:val="00E95C6F"/>
    <w:rsid w:val="00EA04F8"/>
    <w:rsid w:val="00EA0F5A"/>
    <w:rsid w:val="00EA2C2A"/>
    <w:rsid w:val="00EA5BDB"/>
    <w:rsid w:val="00EA5D2E"/>
    <w:rsid w:val="00EB1FFF"/>
    <w:rsid w:val="00EB7060"/>
    <w:rsid w:val="00EC1AF9"/>
    <w:rsid w:val="00EC3748"/>
    <w:rsid w:val="00EC4AD7"/>
    <w:rsid w:val="00EC7BE8"/>
    <w:rsid w:val="00EC7BFE"/>
    <w:rsid w:val="00ED17E0"/>
    <w:rsid w:val="00ED2E88"/>
    <w:rsid w:val="00ED699C"/>
    <w:rsid w:val="00EE0B61"/>
    <w:rsid w:val="00EE4993"/>
    <w:rsid w:val="00EE76CA"/>
    <w:rsid w:val="00EF2494"/>
    <w:rsid w:val="00EF280E"/>
    <w:rsid w:val="00EF4B4C"/>
    <w:rsid w:val="00EF4BE4"/>
    <w:rsid w:val="00F02E53"/>
    <w:rsid w:val="00F040D0"/>
    <w:rsid w:val="00F07277"/>
    <w:rsid w:val="00F11305"/>
    <w:rsid w:val="00F1501C"/>
    <w:rsid w:val="00F15B3B"/>
    <w:rsid w:val="00F16797"/>
    <w:rsid w:val="00F20559"/>
    <w:rsid w:val="00F22072"/>
    <w:rsid w:val="00F25EB1"/>
    <w:rsid w:val="00F27B19"/>
    <w:rsid w:val="00F3132D"/>
    <w:rsid w:val="00F32B49"/>
    <w:rsid w:val="00F338CF"/>
    <w:rsid w:val="00F351B4"/>
    <w:rsid w:val="00F37EA8"/>
    <w:rsid w:val="00F403E5"/>
    <w:rsid w:val="00F420E7"/>
    <w:rsid w:val="00F53C5D"/>
    <w:rsid w:val="00F55521"/>
    <w:rsid w:val="00F62021"/>
    <w:rsid w:val="00F62174"/>
    <w:rsid w:val="00F71A58"/>
    <w:rsid w:val="00F80225"/>
    <w:rsid w:val="00F8294E"/>
    <w:rsid w:val="00F841ED"/>
    <w:rsid w:val="00F85D37"/>
    <w:rsid w:val="00F86BA0"/>
    <w:rsid w:val="00F96DA5"/>
    <w:rsid w:val="00FA09FE"/>
    <w:rsid w:val="00FA4D10"/>
    <w:rsid w:val="00FB05E3"/>
    <w:rsid w:val="00FB2D80"/>
    <w:rsid w:val="00FB3234"/>
    <w:rsid w:val="00FC253B"/>
    <w:rsid w:val="00FC4D0D"/>
    <w:rsid w:val="00FC53B0"/>
    <w:rsid w:val="00FC6CB6"/>
    <w:rsid w:val="00FC7499"/>
    <w:rsid w:val="00FD0247"/>
    <w:rsid w:val="00FD3BB5"/>
    <w:rsid w:val="00FD4B87"/>
    <w:rsid w:val="00FD55F8"/>
    <w:rsid w:val="00FD622D"/>
    <w:rsid w:val="00FE0B3C"/>
    <w:rsid w:val="00FE2FBC"/>
    <w:rsid w:val="00FE587E"/>
    <w:rsid w:val="00FE6932"/>
    <w:rsid w:val="00FE7A6D"/>
    <w:rsid w:val="00FF26EF"/>
    <w:rsid w:val="00FF4941"/>
    <w:rsid w:val="00FF4CC3"/>
    <w:rsid w:val="00FF5166"/>
    <w:rsid w:val="00FF6DAD"/>
    <w:rsid w:val="00FF7DC6"/>
    <w:rsid w:val="03816E55"/>
    <w:rsid w:val="053702EC"/>
    <w:rsid w:val="14C33176"/>
    <w:rsid w:val="164D231E"/>
    <w:rsid w:val="1C4C6DB5"/>
    <w:rsid w:val="2AF459E0"/>
    <w:rsid w:val="2AFFE4E7"/>
    <w:rsid w:val="2FFDBC33"/>
    <w:rsid w:val="3512487E"/>
    <w:rsid w:val="38E2156D"/>
    <w:rsid w:val="3B65208D"/>
    <w:rsid w:val="3FEE3C0D"/>
    <w:rsid w:val="3FFE8145"/>
    <w:rsid w:val="41BE04E1"/>
    <w:rsid w:val="489741E1"/>
    <w:rsid w:val="4A013D34"/>
    <w:rsid w:val="4BBF129A"/>
    <w:rsid w:val="50FD3DC4"/>
    <w:rsid w:val="53230055"/>
    <w:rsid w:val="55FF0CB5"/>
    <w:rsid w:val="56B94C33"/>
    <w:rsid w:val="57B7551B"/>
    <w:rsid w:val="5BE74E36"/>
    <w:rsid w:val="5FF0D28F"/>
    <w:rsid w:val="60E92BEA"/>
    <w:rsid w:val="62A52B40"/>
    <w:rsid w:val="67BEDCE4"/>
    <w:rsid w:val="67EF6238"/>
    <w:rsid w:val="6BD06F14"/>
    <w:rsid w:val="6C9D0D45"/>
    <w:rsid w:val="73E5582B"/>
    <w:rsid w:val="76255BAE"/>
    <w:rsid w:val="774A4CE6"/>
    <w:rsid w:val="77BFEE44"/>
    <w:rsid w:val="79FB2FEC"/>
    <w:rsid w:val="7BA379B4"/>
    <w:rsid w:val="7BC85512"/>
    <w:rsid w:val="7DFF4CD5"/>
    <w:rsid w:val="7E695029"/>
    <w:rsid w:val="7F91561F"/>
    <w:rsid w:val="7F9DBB9A"/>
    <w:rsid w:val="92BEA1F4"/>
    <w:rsid w:val="B75F6879"/>
    <w:rsid w:val="BEFFF37A"/>
    <w:rsid w:val="CF7ED486"/>
    <w:rsid w:val="DF54FAAB"/>
    <w:rsid w:val="DFFEE27A"/>
    <w:rsid w:val="F34F4014"/>
    <w:rsid w:val="F7FF9AD5"/>
    <w:rsid w:val="F9DB110E"/>
    <w:rsid w:val="FBAFD837"/>
    <w:rsid w:val="FBFF40CD"/>
    <w:rsid w:val="FD3FC421"/>
    <w:rsid w:val="FDC7C749"/>
    <w:rsid w:val="FEBB1548"/>
    <w:rsid w:val="FF7ED5F3"/>
    <w:rsid w:val="FFFD08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locked/>
    <w:uiPriority w:val="99"/>
    <w:pPr>
      <w:jc w:val="left"/>
    </w:pPr>
  </w:style>
  <w:style w:type="paragraph" w:styleId="3">
    <w:name w:val="Date"/>
    <w:basedOn w:val="1"/>
    <w:next w:val="1"/>
    <w:link w:val="10"/>
    <w:qFormat/>
    <w:uiPriority w:val="99"/>
    <w:pPr>
      <w:ind w:left="100" w:leftChars="2500"/>
    </w:pPr>
  </w:style>
  <w:style w:type="paragraph" w:styleId="4">
    <w:name w:val="Balloon Text"/>
    <w:basedOn w:val="1"/>
    <w:link w:val="11"/>
    <w:semiHidden/>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日期 字符"/>
    <w:basedOn w:val="9"/>
    <w:link w:val="3"/>
    <w:semiHidden/>
    <w:qFormat/>
    <w:locked/>
    <w:uiPriority w:val="99"/>
    <w:rPr>
      <w:rFonts w:cs="Times New Roman"/>
      <w:sz w:val="21"/>
      <w:szCs w:val="21"/>
    </w:rPr>
  </w:style>
  <w:style w:type="character" w:customStyle="1" w:styleId="11">
    <w:name w:val="批注框文本 字符"/>
    <w:basedOn w:val="9"/>
    <w:link w:val="4"/>
    <w:qFormat/>
    <w:locked/>
    <w:uiPriority w:val="99"/>
    <w:rPr>
      <w:rFonts w:cs="Times New Roman"/>
      <w:kern w:val="2"/>
      <w:sz w:val="18"/>
      <w:szCs w:val="18"/>
    </w:rPr>
  </w:style>
  <w:style w:type="character" w:customStyle="1" w:styleId="12">
    <w:name w:val="页脚 字符"/>
    <w:basedOn w:val="9"/>
    <w:link w:val="5"/>
    <w:qFormat/>
    <w:locked/>
    <w:uiPriority w:val="99"/>
    <w:rPr>
      <w:rFonts w:cs="Times New Roman"/>
      <w:kern w:val="2"/>
      <w:sz w:val="18"/>
      <w:szCs w:val="18"/>
    </w:rPr>
  </w:style>
  <w:style w:type="character" w:customStyle="1" w:styleId="13">
    <w:name w:val="页眉 字符"/>
    <w:basedOn w:val="9"/>
    <w:link w:val="6"/>
    <w:semiHidden/>
    <w:qFormat/>
    <w:locked/>
    <w:uiPriority w:val="99"/>
    <w:rPr>
      <w:rFonts w:ascii="Calibri" w:hAnsi="Calibri" w:eastAsia="宋体" w:cs="Calibri"/>
      <w:kern w:val="2"/>
      <w:sz w:val="18"/>
      <w:szCs w:val="18"/>
      <w:lang w:val="en-US" w:eastAsia="zh-CN"/>
    </w:rPr>
  </w:style>
  <w:style w:type="paragraph" w:customStyle="1" w:styleId="14">
    <w:name w:val="段"/>
    <w:link w:val="15"/>
    <w:qFormat/>
    <w:uiPriority w:val="99"/>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15">
    <w:name w:val="段 Char"/>
    <w:basedOn w:val="9"/>
    <w:link w:val="14"/>
    <w:qFormat/>
    <w:locked/>
    <w:uiPriority w:val="99"/>
    <w:rPr>
      <w:rFonts w:ascii="宋体" w:cs="宋体"/>
      <w:sz w:val="21"/>
      <w:szCs w:val="21"/>
      <w:lang w:val="en-US" w:eastAsia="zh-CN" w:bidi="ar-SA"/>
    </w:rPr>
  </w:style>
  <w:style w:type="paragraph" w:customStyle="1" w:styleId="16">
    <w:name w:val="一级条标题"/>
    <w:next w:val="14"/>
    <w:qFormat/>
    <w:uiPriority w:val="99"/>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17">
    <w:name w:val="章标题"/>
    <w:next w:val="14"/>
    <w:qFormat/>
    <w:uiPriority w:val="99"/>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18">
    <w:name w:val="二级条标题"/>
    <w:basedOn w:val="16"/>
    <w:next w:val="14"/>
    <w:qFormat/>
    <w:uiPriority w:val="99"/>
    <w:pPr>
      <w:numPr>
        <w:ilvl w:val="2"/>
      </w:numPr>
      <w:spacing w:before="50" w:after="50"/>
      <w:outlineLvl w:val="3"/>
    </w:pPr>
  </w:style>
  <w:style w:type="paragraph" w:customStyle="1" w:styleId="19">
    <w:name w:val="三级条标题"/>
    <w:basedOn w:val="18"/>
    <w:next w:val="14"/>
    <w:qFormat/>
    <w:uiPriority w:val="99"/>
    <w:pPr>
      <w:numPr>
        <w:ilvl w:val="3"/>
      </w:numPr>
      <w:outlineLvl w:val="4"/>
    </w:pPr>
  </w:style>
  <w:style w:type="paragraph" w:customStyle="1" w:styleId="20">
    <w:name w:val="四级条标题"/>
    <w:basedOn w:val="19"/>
    <w:next w:val="14"/>
    <w:qFormat/>
    <w:uiPriority w:val="99"/>
    <w:pPr>
      <w:numPr>
        <w:ilvl w:val="4"/>
      </w:numPr>
      <w:ind w:left="0"/>
      <w:outlineLvl w:val="5"/>
    </w:pPr>
  </w:style>
  <w:style w:type="paragraph" w:customStyle="1" w:styleId="21">
    <w:name w:val="五级条标题"/>
    <w:basedOn w:val="20"/>
    <w:next w:val="14"/>
    <w:qFormat/>
    <w:uiPriority w:val="99"/>
    <w:pPr>
      <w:numPr>
        <w:ilvl w:val="5"/>
      </w:numPr>
      <w:outlineLvl w:val="6"/>
    </w:pPr>
  </w:style>
  <w:style w:type="paragraph" w:customStyle="1" w:styleId="22">
    <w:name w:val="注：（正文）"/>
    <w:basedOn w:val="1"/>
    <w:next w:val="1"/>
    <w:qFormat/>
    <w:uiPriority w:val="99"/>
    <w:pPr>
      <w:tabs>
        <w:tab w:val="left" w:pos="720"/>
      </w:tabs>
      <w:autoSpaceDE w:val="0"/>
      <w:autoSpaceDN w:val="0"/>
      <w:ind w:left="720" w:hanging="720"/>
    </w:pPr>
    <w:rPr>
      <w:rFonts w:ascii="宋体" w:cs="宋体"/>
      <w:kern w:val="0"/>
      <w:sz w:val="18"/>
      <w:szCs w:val="18"/>
    </w:rPr>
  </w:style>
  <w:style w:type="paragraph" w:customStyle="1" w:styleId="23">
    <w:name w:val="列出段落1"/>
    <w:basedOn w:val="1"/>
    <w:qFormat/>
    <w:uiPriority w:val="99"/>
    <w:pPr>
      <w:ind w:firstLine="420" w:firstLineChars="200"/>
    </w:pPr>
    <w:rPr>
      <w:rFonts w:ascii="Calibri" w:hAnsi="Calibri" w:cs="Calibri"/>
    </w:rPr>
  </w:style>
  <w:style w:type="paragraph" w:customStyle="1" w:styleId="24">
    <w:name w:val="附录标识"/>
    <w:basedOn w:val="1"/>
    <w:next w:val="14"/>
    <w:qFormat/>
    <w:uiPriority w:val="99"/>
    <w:pPr>
      <w:keepNext/>
      <w:widowControl/>
      <w:numPr>
        <w:ilvl w:val="0"/>
        <w:numId w:val="2"/>
      </w:numPr>
      <w:shd w:val="clear" w:color="FFFFFF" w:fill="FFFFFF"/>
      <w:tabs>
        <w:tab w:val="left" w:pos="360"/>
        <w:tab w:val="left" w:pos="6405"/>
      </w:tabs>
      <w:spacing w:before="640" w:after="280"/>
      <w:jc w:val="center"/>
      <w:outlineLvl w:val="0"/>
    </w:pPr>
    <w:rPr>
      <w:rFonts w:ascii="黑体" w:eastAsia="黑体" w:cs="黑体"/>
      <w:kern w:val="0"/>
    </w:rPr>
  </w:style>
  <w:style w:type="paragraph" w:customStyle="1" w:styleId="25">
    <w:name w:val="附录二级条标题"/>
    <w:basedOn w:val="1"/>
    <w:next w:val="14"/>
    <w:qFormat/>
    <w:uiPriority w:val="99"/>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26">
    <w:name w:val="附录三级条标题"/>
    <w:basedOn w:val="25"/>
    <w:next w:val="14"/>
    <w:qFormat/>
    <w:uiPriority w:val="99"/>
    <w:pPr>
      <w:numPr>
        <w:ilvl w:val="4"/>
      </w:numPr>
      <w:outlineLvl w:val="4"/>
    </w:pPr>
  </w:style>
  <w:style w:type="paragraph" w:customStyle="1" w:styleId="27">
    <w:name w:val="附录四级条标题"/>
    <w:basedOn w:val="26"/>
    <w:next w:val="14"/>
    <w:qFormat/>
    <w:uiPriority w:val="99"/>
    <w:pPr>
      <w:numPr>
        <w:ilvl w:val="5"/>
      </w:numPr>
      <w:outlineLvl w:val="5"/>
    </w:pPr>
  </w:style>
  <w:style w:type="paragraph" w:customStyle="1" w:styleId="28">
    <w:name w:val="附录五级条标题"/>
    <w:basedOn w:val="27"/>
    <w:next w:val="14"/>
    <w:qFormat/>
    <w:uiPriority w:val="99"/>
    <w:pPr>
      <w:numPr>
        <w:ilvl w:val="6"/>
      </w:numPr>
      <w:outlineLvl w:val="6"/>
    </w:pPr>
  </w:style>
  <w:style w:type="paragraph" w:customStyle="1" w:styleId="29">
    <w:name w:val="附录章标题"/>
    <w:next w:val="14"/>
    <w:qFormat/>
    <w:uiPriority w:val="99"/>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黑体"/>
      <w:kern w:val="21"/>
      <w:sz w:val="21"/>
      <w:szCs w:val="21"/>
      <w:lang w:val="en-US" w:eastAsia="zh-CN" w:bidi="ar-SA"/>
    </w:rPr>
  </w:style>
  <w:style w:type="paragraph" w:customStyle="1" w:styleId="30">
    <w:name w:val="附录一级条标题"/>
    <w:basedOn w:val="29"/>
    <w:next w:val="14"/>
    <w:qFormat/>
    <w:uiPriority w:val="99"/>
    <w:pPr>
      <w:numPr>
        <w:ilvl w:val="2"/>
      </w:numPr>
      <w:autoSpaceDN w:val="0"/>
      <w:spacing w:beforeLines="50" w:afterLines="50"/>
      <w:outlineLvl w:val="2"/>
    </w:pPr>
  </w:style>
  <w:style w:type="character" w:customStyle="1" w:styleId="31">
    <w:name w:val="Char Char1"/>
    <w:qFormat/>
    <w:uiPriority w:val="99"/>
    <w:rPr>
      <w:sz w:val="18"/>
    </w:rPr>
  </w:style>
  <w:style w:type="paragraph" w:customStyle="1" w:styleId="32">
    <w:name w:val="无间隔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3">
    <w:name w:val="数字编号列项（二级）"/>
    <w:qFormat/>
    <w:uiPriority w:val="99"/>
    <w:pPr>
      <w:tabs>
        <w:tab w:val="left" w:pos="1259"/>
      </w:tabs>
      <w:ind w:left="1259" w:hanging="420"/>
      <w:jc w:val="both"/>
    </w:pPr>
    <w:rPr>
      <w:rFonts w:ascii="宋体" w:hAnsi="Times New Roman" w:eastAsia="宋体" w:cs="宋体"/>
      <w:sz w:val="21"/>
      <w:szCs w:val="21"/>
      <w:lang w:val="en-US" w:eastAsia="zh-CN" w:bidi="ar-SA"/>
    </w:rPr>
  </w:style>
  <w:style w:type="paragraph" w:customStyle="1" w:styleId="34">
    <w:name w:val="附录三级无"/>
    <w:basedOn w:val="26"/>
    <w:qFormat/>
    <w:uiPriority w:val="99"/>
    <w:pPr>
      <w:numPr>
        <w:ilvl w:val="1"/>
        <w:numId w:val="3"/>
      </w:numPr>
      <w:tabs>
        <w:tab w:val="left" w:pos="2100"/>
        <w:tab w:val="clear" w:pos="840"/>
      </w:tabs>
      <w:spacing w:beforeLines="0" w:afterLines="0"/>
      <w:ind w:left="0" w:firstLine="0"/>
    </w:pPr>
    <w:rPr>
      <w:rFonts w:ascii="宋体" w:eastAsia="宋体" w:cs="宋体"/>
    </w:rPr>
  </w:style>
  <w:style w:type="paragraph" w:customStyle="1" w:styleId="35">
    <w:name w:val="附录一级无"/>
    <w:basedOn w:val="30"/>
    <w:qFormat/>
    <w:uiPriority w:val="99"/>
    <w:pPr>
      <w:numPr>
        <w:ilvl w:val="0"/>
        <w:numId w:val="3"/>
      </w:numPr>
      <w:tabs>
        <w:tab w:val="left" w:pos="1260"/>
        <w:tab w:val="clear" w:pos="839"/>
      </w:tabs>
      <w:spacing w:beforeLines="0" w:afterLines="0"/>
      <w:ind w:left="0" w:firstLine="0"/>
    </w:pPr>
    <w:rPr>
      <w:rFonts w:ascii="宋体" w:eastAsia="宋体" w:cs="宋体"/>
    </w:rPr>
  </w:style>
  <w:style w:type="paragraph" w:styleId="3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3223</Words>
  <Characters>3305</Characters>
  <Lines>25</Lines>
  <Paragraphs>7</Paragraphs>
  <TotalTime>29</TotalTime>
  <ScaleCrop>false</ScaleCrop>
  <LinksUpToDate>false</LinksUpToDate>
  <CharactersWithSpaces>3316</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2017-04-15T01:28:00Z</dcterms:created>
  <dc:creator>微软用户</dc:creator>
  <cp:lastModifiedBy>admin</cp:lastModifiedBy>
  <cp:lastPrinted>2023-08-11T08:39:11Z</cp:lastPrinted>
  <dcterms:modified xsi:type="dcterms:W3CDTF">2023-08-11T11:05:43Z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0E1475A89F6E4053AFC6BFE81EBFB888_13</vt:lpwstr>
  </property>
</Properties>
</file>